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1327" w14:textId="77777777" w:rsidR="00F82CB8" w:rsidRDefault="00F82CB8" w:rsidP="00F82CB8">
      <w:pPr>
        <w:rPr>
          <w:b/>
          <w:sz w:val="40"/>
          <w:szCs w:val="40"/>
        </w:rPr>
      </w:pPr>
      <w:r>
        <w:rPr>
          <w:b/>
          <w:noProof/>
          <w:sz w:val="40"/>
          <w:szCs w:val="40"/>
        </w:rPr>
        <w:drawing>
          <wp:inline distT="0" distB="0" distL="0" distR="0" wp14:anchorId="2AE3D91C" wp14:editId="5CED4C8F">
            <wp:extent cx="1113720" cy="450850"/>
            <wp:effectExtent l="0" t="0" r="0" b="6350"/>
            <wp:docPr id="917012006" name="Picture 1" descr="A blue and orange logo&#10;&#10;AI-generated content may be incorrect.">
              <a:extLst xmlns:a="http://schemas.openxmlformats.org/drawingml/2006/main">
                <a:ext uri="{FF2B5EF4-FFF2-40B4-BE49-F238E27FC236}">
                  <a16:creationId xmlns:a16="http://schemas.microsoft.com/office/drawing/2014/main" id="{522B6ECF-9909-4719-9DE4-3E7956E63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12006" name="Picture 1" descr="A blue and orang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8659" cy="460946"/>
                    </a:xfrm>
                    <a:prstGeom prst="rect">
                      <a:avLst/>
                    </a:prstGeom>
                  </pic:spPr>
                </pic:pic>
              </a:graphicData>
            </a:graphic>
          </wp:inline>
        </w:drawing>
      </w:r>
      <w:r>
        <w:rPr>
          <w:b/>
          <w:sz w:val="40"/>
          <w:szCs w:val="40"/>
        </w:rPr>
        <w:t xml:space="preserve">     </w:t>
      </w:r>
    </w:p>
    <w:p w14:paraId="6CF39C47" w14:textId="53EF09FA" w:rsidR="004C04C7" w:rsidRPr="00816C97" w:rsidRDefault="00F82CB8" w:rsidP="00F82CB8">
      <w:pPr>
        <w:jc w:val="center"/>
        <w:rPr>
          <w:b/>
          <w:sz w:val="40"/>
          <w:szCs w:val="40"/>
        </w:rPr>
      </w:pPr>
      <w:r>
        <w:rPr>
          <w:b/>
          <w:sz w:val="40"/>
          <w:szCs w:val="40"/>
        </w:rPr>
        <w:t>J</w:t>
      </w:r>
      <w:r w:rsidR="00203C1D" w:rsidRPr="00816C97">
        <w:rPr>
          <w:b/>
          <w:sz w:val="40"/>
          <w:szCs w:val="40"/>
        </w:rPr>
        <w:t>OB DESCRIPTION</w:t>
      </w:r>
    </w:p>
    <w:tbl>
      <w:tblPr>
        <w:tblStyle w:val="TableGrid"/>
        <w:tblW w:w="0" w:type="auto"/>
        <w:tblLook w:val="04A0" w:firstRow="1" w:lastRow="0" w:firstColumn="1" w:lastColumn="0" w:noHBand="0" w:noVBand="1"/>
      </w:tblPr>
      <w:tblGrid>
        <w:gridCol w:w="1795"/>
        <w:gridCol w:w="5130"/>
      </w:tblGrid>
      <w:tr w:rsidR="00203C1D" w14:paraId="609BDBD1" w14:textId="77777777" w:rsidTr="00203C1D">
        <w:tc>
          <w:tcPr>
            <w:tcW w:w="1795" w:type="dxa"/>
          </w:tcPr>
          <w:p w14:paraId="3B563EE0" w14:textId="77777777" w:rsidR="00203C1D" w:rsidRPr="00203C1D" w:rsidRDefault="00203C1D" w:rsidP="00203C1D">
            <w:pPr>
              <w:rPr>
                <w:b/>
                <w:sz w:val="24"/>
                <w:szCs w:val="24"/>
              </w:rPr>
            </w:pPr>
            <w:r w:rsidRPr="00203C1D">
              <w:rPr>
                <w:b/>
                <w:sz w:val="24"/>
                <w:szCs w:val="24"/>
              </w:rPr>
              <w:t>Department</w:t>
            </w:r>
          </w:p>
        </w:tc>
        <w:tc>
          <w:tcPr>
            <w:tcW w:w="5130" w:type="dxa"/>
          </w:tcPr>
          <w:p w14:paraId="76B6DF27" w14:textId="77777777" w:rsidR="00203C1D" w:rsidRDefault="00C67800" w:rsidP="00203C1D">
            <w:pPr>
              <w:rPr>
                <w:sz w:val="24"/>
                <w:szCs w:val="24"/>
              </w:rPr>
            </w:pPr>
            <w:r>
              <w:rPr>
                <w:sz w:val="24"/>
                <w:szCs w:val="24"/>
              </w:rPr>
              <w:t>Finance</w:t>
            </w:r>
          </w:p>
        </w:tc>
      </w:tr>
      <w:tr w:rsidR="00203C1D" w14:paraId="41F80790" w14:textId="77777777" w:rsidTr="00203C1D">
        <w:tc>
          <w:tcPr>
            <w:tcW w:w="1795" w:type="dxa"/>
          </w:tcPr>
          <w:p w14:paraId="564CDC7B" w14:textId="77777777" w:rsidR="00203C1D" w:rsidRPr="00203C1D" w:rsidRDefault="00203C1D" w:rsidP="00203C1D">
            <w:pPr>
              <w:rPr>
                <w:b/>
                <w:sz w:val="24"/>
                <w:szCs w:val="24"/>
              </w:rPr>
            </w:pPr>
            <w:r w:rsidRPr="00203C1D">
              <w:rPr>
                <w:b/>
                <w:sz w:val="24"/>
                <w:szCs w:val="24"/>
              </w:rPr>
              <w:t>Job Title</w:t>
            </w:r>
          </w:p>
        </w:tc>
        <w:tc>
          <w:tcPr>
            <w:tcW w:w="5130" w:type="dxa"/>
          </w:tcPr>
          <w:p w14:paraId="5DB348AD" w14:textId="72E048E8" w:rsidR="00203C1D" w:rsidRDefault="005223C1" w:rsidP="00203C1D">
            <w:pPr>
              <w:rPr>
                <w:sz w:val="24"/>
                <w:szCs w:val="24"/>
              </w:rPr>
            </w:pPr>
            <w:r>
              <w:rPr>
                <w:sz w:val="24"/>
                <w:szCs w:val="24"/>
              </w:rPr>
              <w:t>Fund Manager</w:t>
            </w:r>
          </w:p>
        </w:tc>
      </w:tr>
      <w:tr w:rsidR="00203C1D" w14:paraId="1486685C" w14:textId="77777777" w:rsidTr="00203C1D">
        <w:tc>
          <w:tcPr>
            <w:tcW w:w="1795" w:type="dxa"/>
          </w:tcPr>
          <w:p w14:paraId="6346FCAC" w14:textId="77777777" w:rsidR="00203C1D" w:rsidRPr="00203C1D" w:rsidRDefault="00203C1D" w:rsidP="00203C1D">
            <w:pPr>
              <w:rPr>
                <w:b/>
                <w:sz w:val="24"/>
                <w:szCs w:val="24"/>
              </w:rPr>
            </w:pPr>
            <w:r w:rsidRPr="00203C1D">
              <w:rPr>
                <w:b/>
                <w:sz w:val="24"/>
                <w:szCs w:val="24"/>
              </w:rPr>
              <w:t>Reports to</w:t>
            </w:r>
          </w:p>
        </w:tc>
        <w:tc>
          <w:tcPr>
            <w:tcW w:w="5130" w:type="dxa"/>
          </w:tcPr>
          <w:p w14:paraId="355838C3" w14:textId="4081A6E2" w:rsidR="00203C1D" w:rsidRDefault="005223C1" w:rsidP="00203C1D">
            <w:pPr>
              <w:rPr>
                <w:sz w:val="24"/>
                <w:szCs w:val="24"/>
              </w:rPr>
            </w:pPr>
            <w:r>
              <w:rPr>
                <w:sz w:val="24"/>
                <w:szCs w:val="24"/>
              </w:rPr>
              <w:t>Director of Fund Management</w:t>
            </w:r>
          </w:p>
        </w:tc>
      </w:tr>
    </w:tbl>
    <w:p w14:paraId="035E4AE5" w14:textId="089ABCB4" w:rsidR="00203C1D" w:rsidRPr="00203C1D" w:rsidRDefault="00203C1D" w:rsidP="00203C1D">
      <w:pPr>
        <w:rPr>
          <w:i/>
          <w:sz w:val="24"/>
          <w:szCs w:val="24"/>
        </w:rPr>
      </w:pPr>
      <w:r w:rsidRPr="00475068">
        <w:rPr>
          <w:b/>
          <w:sz w:val="24"/>
          <w:szCs w:val="24"/>
        </w:rPr>
        <w:t>Job Summary:</w:t>
      </w:r>
      <w:r>
        <w:rPr>
          <w:sz w:val="24"/>
          <w:szCs w:val="24"/>
        </w:rPr>
        <w:t xml:space="preserve"> </w:t>
      </w:r>
    </w:p>
    <w:tbl>
      <w:tblPr>
        <w:tblStyle w:val="TableGrid"/>
        <w:tblW w:w="0" w:type="auto"/>
        <w:tblLook w:val="04A0" w:firstRow="1" w:lastRow="0" w:firstColumn="1" w:lastColumn="0" w:noHBand="0" w:noVBand="1"/>
      </w:tblPr>
      <w:tblGrid>
        <w:gridCol w:w="10790"/>
      </w:tblGrid>
      <w:tr w:rsidR="00205F7F" w14:paraId="10838E74" w14:textId="77777777" w:rsidTr="00205F7F">
        <w:tc>
          <w:tcPr>
            <w:tcW w:w="10790" w:type="dxa"/>
          </w:tcPr>
          <w:p w14:paraId="26435451" w14:textId="01D081FA" w:rsidR="00205F7F" w:rsidRDefault="00FE1AA7" w:rsidP="00203C1D">
            <w:pPr>
              <w:rPr>
                <w:sz w:val="24"/>
                <w:szCs w:val="24"/>
              </w:rPr>
            </w:pPr>
            <w:r w:rsidRPr="00FE1AA7">
              <w:rPr>
                <w:sz w:val="24"/>
                <w:szCs w:val="24"/>
              </w:rPr>
              <w:t xml:space="preserve">The </w:t>
            </w:r>
            <w:r w:rsidR="005223C1">
              <w:rPr>
                <w:sz w:val="24"/>
                <w:szCs w:val="24"/>
              </w:rPr>
              <w:t>Fund Manager</w:t>
            </w:r>
            <w:r w:rsidRPr="00FE1AA7">
              <w:rPr>
                <w:sz w:val="24"/>
                <w:szCs w:val="24"/>
              </w:rPr>
              <w:t xml:space="preserve"> will be responsible for monitoring, managing</w:t>
            </w:r>
            <w:r w:rsidR="002E5694">
              <w:rPr>
                <w:sz w:val="24"/>
                <w:szCs w:val="24"/>
              </w:rPr>
              <w:t>,</w:t>
            </w:r>
            <w:r w:rsidRPr="00FE1AA7">
              <w:rPr>
                <w:sz w:val="24"/>
                <w:szCs w:val="24"/>
              </w:rPr>
              <w:t xml:space="preserve"> and tracking all Fund activity for a specific group of Tax Credit Funds</w:t>
            </w:r>
            <w:r w:rsidR="002E5694">
              <w:rPr>
                <w:sz w:val="24"/>
                <w:szCs w:val="24"/>
              </w:rPr>
              <w:t>,</w:t>
            </w:r>
            <w:r w:rsidRPr="00FE1AA7">
              <w:rPr>
                <w:sz w:val="24"/>
                <w:szCs w:val="24"/>
              </w:rPr>
              <w:t xml:space="preserve"> as well as preparing documents that are ultimately provided to Investors.  </w:t>
            </w:r>
          </w:p>
          <w:p w14:paraId="000665FF" w14:textId="77777777" w:rsidR="00205F7F" w:rsidRDefault="00205F7F" w:rsidP="00203C1D">
            <w:pPr>
              <w:rPr>
                <w:sz w:val="24"/>
                <w:szCs w:val="24"/>
              </w:rPr>
            </w:pPr>
          </w:p>
        </w:tc>
      </w:tr>
    </w:tbl>
    <w:p w14:paraId="21FCAF11" w14:textId="20E191DF" w:rsidR="00203C1D" w:rsidRPr="00205F7F" w:rsidRDefault="00203C1D" w:rsidP="00203C1D">
      <w:pPr>
        <w:rPr>
          <w:sz w:val="24"/>
          <w:szCs w:val="24"/>
        </w:rPr>
      </w:pPr>
      <w:r w:rsidRPr="00475068">
        <w:rPr>
          <w:b/>
          <w:sz w:val="24"/>
          <w:szCs w:val="24"/>
        </w:rPr>
        <w:t>Essential Job Functions:</w:t>
      </w:r>
      <w:r>
        <w:rPr>
          <w:sz w:val="24"/>
          <w:szCs w:val="24"/>
        </w:rPr>
        <w:t xml:space="preserve"> </w:t>
      </w:r>
      <w:r w:rsidR="00205F7F">
        <w:rPr>
          <w:i/>
          <w:sz w:val="24"/>
          <w:szCs w:val="24"/>
        </w:rPr>
        <w:t xml:space="preserve"> </w:t>
      </w:r>
    </w:p>
    <w:tbl>
      <w:tblPr>
        <w:tblStyle w:val="TableGrid"/>
        <w:tblW w:w="0" w:type="auto"/>
        <w:tblLook w:val="04A0" w:firstRow="1" w:lastRow="0" w:firstColumn="1" w:lastColumn="0" w:noHBand="0" w:noVBand="1"/>
      </w:tblPr>
      <w:tblGrid>
        <w:gridCol w:w="8905"/>
        <w:gridCol w:w="1885"/>
      </w:tblGrid>
      <w:tr w:rsidR="00203C1D" w14:paraId="5AC0999E" w14:textId="77777777" w:rsidTr="00015442">
        <w:tc>
          <w:tcPr>
            <w:tcW w:w="8905" w:type="dxa"/>
          </w:tcPr>
          <w:p w14:paraId="75D4E5C6" w14:textId="77777777" w:rsidR="00203C1D" w:rsidRPr="00203C1D" w:rsidRDefault="00203C1D" w:rsidP="00203C1D">
            <w:pPr>
              <w:jc w:val="center"/>
              <w:rPr>
                <w:b/>
                <w:sz w:val="24"/>
                <w:szCs w:val="24"/>
              </w:rPr>
            </w:pPr>
            <w:r w:rsidRPr="00203C1D">
              <w:rPr>
                <w:b/>
                <w:sz w:val="24"/>
                <w:szCs w:val="24"/>
              </w:rPr>
              <w:t>Function/Responsibility</w:t>
            </w:r>
          </w:p>
        </w:tc>
        <w:tc>
          <w:tcPr>
            <w:tcW w:w="1885" w:type="dxa"/>
          </w:tcPr>
          <w:p w14:paraId="037FD951" w14:textId="77777777" w:rsidR="00203C1D" w:rsidRPr="00203C1D" w:rsidRDefault="00203C1D" w:rsidP="00203C1D">
            <w:pPr>
              <w:jc w:val="center"/>
              <w:rPr>
                <w:b/>
                <w:sz w:val="24"/>
                <w:szCs w:val="24"/>
              </w:rPr>
            </w:pPr>
            <w:r w:rsidRPr="00203C1D">
              <w:rPr>
                <w:b/>
                <w:sz w:val="24"/>
                <w:szCs w:val="24"/>
              </w:rPr>
              <w:t>Percentage of time spent on the function</w:t>
            </w:r>
          </w:p>
        </w:tc>
      </w:tr>
      <w:tr w:rsidR="00203C1D" w14:paraId="278B679E" w14:textId="77777777" w:rsidTr="00015442">
        <w:tc>
          <w:tcPr>
            <w:tcW w:w="8905" w:type="dxa"/>
          </w:tcPr>
          <w:p w14:paraId="29D22E26" w14:textId="77777777" w:rsidR="00FE1AA7" w:rsidRPr="00FE1AA7" w:rsidRDefault="00FE1AA7" w:rsidP="00FE1AA7">
            <w:pPr>
              <w:rPr>
                <w:b/>
                <w:sz w:val="24"/>
                <w:szCs w:val="24"/>
              </w:rPr>
            </w:pPr>
            <w:r w:rsidRPr="00FE1AA7">
              <w:rPr>
                <w:b/>
                <w:sz w:val="24"/>
                <w:szCs w:val="24"/>
              </w:rPr>
              <w:t>Cash Management</w:t>
            </w:r>
          </w:p>
          <w:p w14:paraId="3BCDB43F" w14:textId="2E733CA0" w:rsidR="00D64D0A" w:rsidRPr="002B5141" w:rsidRDefault="00D64D0A" w:rsidP="00FE1AA7">
            <w:pPr>
              <w:pStyle w:val="ListParagraph"/>
              <w:numPr>
                <w:ilvl w:val="0"/>
                <w:numId w:val="6"/>
              </w:numPr>
              <w:rPr>
                <w:sz w:val="24"/>
                <w:szCs w:val="24"/>
              </w:rPr>
            </w:pPr>
            <w:r w:rsidRPr="002B5141">
              <w:rPr>
                <w:sz w:val="24"/>
                <w:szCs w:val="24"/>
              </w:rPr>
              <w:t xml:space="preserve">Analyze </w:t>
            </w:r>
            <w:r w:rsidR="00F33648" w:rsidRPr="002B5141">
              <w:rPr>
                <w:sz w:val="24"/>
                <w:szCs w:val="24"/>
              </w:rPr>
              <w:t xml:space="preserve">cash needs of the investment funds and prepare required capital calls and </w:t>
            </w:r>
            <w:r w:rsidR="004A4FD0" w:rsidRPr="002B5141">
              <w:rPr>
                <w:sz w:val="24"/>
                <w:szCs w:val="24"/>
              </w:rPr>
              <w:t>schedule of cash needs for tr</w:t>
            </w:r>
            <w:r w:rsidR="00DF323A" w:rsidRPr="002B5141">
              <w:rPr>
                <w:sz w:val="24"/>
                <w:szCs w:val="24"/>
              </w:rPr>
              <w:t xml:space="preserve">easury management </w:t>
            </w:r>
            <w:r w:rsidR="004E79B7" w:rsidRPr="002B5141">
              <w:rPr>
                <w:sz w:val="24"/>
                <w:szCs w:val="24"/>
              </w:rPr>
              <w:t>specialists</w:t>
            </w:r>
          </w:p>
          <w:p w14:paraId="00E59DA4" w14:textId="37934896" w:rsidR="00FE1AA7" w:rsidRPr="00B83D06" w:rsidRDefault="00FE1AA7" w:rsidP="002B5141">
            <w:pPr>
              <w:pStyle w:val="ListParagraph"/>
              <w:numPr>
                <w:ilvl w:val="0"/>
                <w:numId w:val="6"/>
              </w:numPr>
              <w:rPr>
                <w:sz w:val="24"/>
                <w:szCs w:val="24"/>
              </w:rPr>
            </w:pPr>
            <w:r w:rsidRPr="00B83D06">
              <w:rPr>
                <w:sz w:val="24"/>
                <w:szCs w:val="24"/>
              </w:rPr>
              <w:t>Prepare working capital reporting</w:t>
            </w:r>
          </w:p>
          <w:p w14:paraId="12630CB8" w14:textId="77777777" w:rsidR="00203C1D" w:rsidRDefault="00FE1AA7" w:rsidP="002B5141">
            <w:pPr>
              <w:pStyle w:val="ListParagraph"/>
              <w:numPr>
                <w:ilvl w:val="0"/>
                <w:numId w:val="6"/>
              </w:numPr>
              <w:rPr>
                <w:sz w:val="24"/>
                <w:szCs w:val="24"/>
              </w:rPr>
            </w:pPr>
            <w:r w:rsidRPr="00B83D06">
              <w:rPr>
                <w:sz w:val="24"/>
                <w:szCs w:val="24"/>
              </w:rPr>
              <w:t>Verify all cash disbursements for fund entities</w:t>
            </w:r>
          </w:p>
          <w:p w14:paraId="03DD5142" w14:textId="215618FE" w:rsidR="008F0DEE" w:rsidRPr="00B83D06" w:rsidRDefault="008F0DEE" w:rsidP="002B5141">
            <w:pPr>
              <w:pStyle w:val="ListParagraph"/>
              <w:numPr>
                <w:ilvl w:val="0"/>
                <w:numId w:val="6"/>
              </w:numPr>
              <w:rPr>
                <w:sz w:val="24"/>
                <w:szCs w:val="24"/>
              </w:rPr>
            </w:pPr>
            <w:r>
              <w:rPr>
                <w:sz w:val="24"/>
                <w:szCs w:val="24"/>
              </w:rPr>
              <w:t>Support review of equity payments to operating partnerships</w:t>
            </w:r>
          </w:p>
        </w:tc>
        <w:tc>
          <w:tcPr>
            <w:tcW w:w="1885" w:type="dxa"/>
          </w:tcPr>
          <w:p w14:paraId="5C82F8B0" w14:textId="77777777" w:rsidR="00203C1D" w:rsidRDefault="00C67800" w:rsidP="00203C1D">
            <w:pPr>
              <w:rPr>
                <w:sz w:val="24"/>
                <w:szCs w:val="24"/>
              </w:rPr>
            </w:pPr>
            <w:r>
              <w:rPr>
                <w:sz w:val="24"/>
                <w:szCs w:val="24"/>
              </w:rPr>
              <w:t>10%</w:t>
            </w:r>
          </w:p>
        </w:tc>
      </w:tr>
      <w:tr w:rsidR="00203C1D" w14:paraId="7DF05437" w14:textId="77777777" w:rsidTr="00015442">
        <w:tc>
          <w:tcPr>
            <w:tcW w:w="8905" w:type="dxa"/>
          </w:tcPr>
          <w:p w14:paraId="2A12CD4D" w14:textId="77777777" w:rsidR="00FE1AA7" w:rsidRPr="00FE1AA7" w:rsidRDefault="00FE1AA7" w:rsidP="00FE1AA7">
            <w:pPr>
              <w:rPr>
                <w:b/>
                <w:sz w:val="24"/>
                <w:szCs w:val="24"/>
              </w:rPr>
            </w:pPr>
            <w:r w:rsidRPr="00FE1AA7">
              <w:rPr>
                <w:b/>
                <w:sz w:val="24"/>
                <w:szCs w:val="24"/>
              </w:rPr>
              <w:t>Quarterly Accounting</w:t>
            </w:r>
          </w:p>
          <w:p w14:paraId="2E5ABF97" w14:textId="77777777" w:rsidR="00FE1AA7" w:rsidRPr="002B5141" w:rsidRDefault="00FE1AA7" w:rsidP="002B5141">
            <w:pPr>
              <w:pStyle w:val="ListParagraph"/>
              <w:numPr>
                <w:ilvl w:val="0"/>
                <w:numId w:val="2"/>
              </w:numPr>
              <w:rPr>
                <w:sz w:val="24"/>
                <w:szCs w:val="24"/>
              </w:rPr>
            </w:pPr>
            <w:r w:rsidRPr="002B5141">
              <w:rPr>
                <w:sz w:val="24"/>
                <w:szCs w:val="24"/>
              </w:rPr>
              <w:t>Generate and post all quarterly journal entries for fund entities</w:t>
            </w:r>
          </w:p>
          <w:p w14:paraId="6A74DBAB" w14:textId="42AD5E5D" w:rsidR="00FE1AA7" w:rsidRPr="002B5141" w:rsidRDefault="00FE1AA7" w:rsidP="002B5141">
            <w:pPr>
              <w:pStyle w:val="ListParagraph"/>
              <w:numPr>
                <w:ilvl w:val="0"/>
                <w:numId w:val="2"/>
              </w:numPr>
              <w:rPr>
                <w:sz w:val="24"/>
                <w:szCs w:val="24"/>
              </w:rPr>
            </w:pPr>
            <w:r w:rsidRPr="002B5141">
              <w:rPr>
                <w:sz w:val="24"/>
                <w:szCs w:val="24"/>
              </w:rPr>
              <w:t>Assist with the preparation and analysis of the quarterly reports</w:t>
            </w:r>
            <w:r w:rsidR="002E5694">
              <w:rPr>
                <w:sz w:val="24"/>
                <w:szCs w:val="24"/>
              </w:rPr>
              <w:t>,</w:t>
            </w:r>
            <w:r w:rsidRPr="002B5141">
              <w:rPr>
                <w:sz w:val="24"/>
                <w:szCs w:val="24"/>
              </w:rPr>
              <w:t xml:space="preserve"> including but not limited to:</w:t>
            </w:r>
          </w:p>
          <w:p w14:paraId="201C2AD4" w14:textId="538F50F3" w:rsidR="00FE1AA7" w:rsidRPr="002B5141" w:rsidRDefault="00FE1AA7" w:rsidP="002B5141">
            <w:pPr>
              <w:pStyle w:val="ListParagraph"/>
              <w:numPr>
                <w:ilvl w:val="1"/>
                <w:numId w:val="2"/>
              </w:numPr>
              <w:rPr>
                <w:sz w:val="24"/>
                <w:szCs w:val="24"/>
              </w:rPr>
            </w:pPr>
            <w:r w:rsidRPr="002B5141">
              <w:rPr>
                <w:sz w:val="24"/>
                <w:szCs w:val="24"/>
              </w:rPr>
              <w:t>Fund benefit schedules</w:t>
            </w:r>
          </w:p>
          <w:p w14:paraId="73A3DC95" w14:textId="2C9F3DBD" w:rsidR="00FE1AA7" w:rsidRPr="002B5141" w:rsidRDefault="00FE1AA7" w:rsidP="002B5141">
            <w:pPr>
              <w:pStyle w:val="ListParagraph"/>
              <w:numPr>
                <w:ilvl w:val="1"/>
                <w:numId w:val="2"/>
              </w:numPr>
              <w:rPr>
                <w:sz w:val="24"/>
                <w:szCs w:val="24"/>
              </w:rPr>
            </w:pPr>
            <w:r w:rsidRPr="002B5141">
              <w:rPr>
                <w:sz w:val="24"/>
                <w:szCs w:val="24"/>
              </w:rPr>
              <w:t>Fund cash reserves</w:t>
            </w:r>
          </w:p>
          <w:p w14:paraId="70522A99" w14:textId="4B096BAC" w:rsidR="00FE1AA7" w:rsidRPr="002B5141" w:rsidRDefault="00FE1AA7" w:rsidP="002B5141">
            <w:pPr>
              <w:pStyle w:val="ListParagraph"/>
              <w:numPr>
                <w:ilvl w:val="1"/>
                <w:numId w:val="2"/>
              </w:numPr>
              <w:rPr>
                <w:sz w:val="24"/>
                <w:szCs w:val="24"/>
              </w:rPr>
            </w:pPr>
            <w:r w:rsidRPr="002B5141">
              <w:rPr>
                <w:sz w:val="24"/>
                <w:szCs w:val="24"/>
              </w:rPr>
              <w:t xml:space="preserve">Draft Fund </w:t>
            </w:r>
            <w:r w:rsidR="002428F9" w:rsidRPr="002B5141">
              <w:rPr>
                <w:sz w:val="24"/>
                <w:szCs w:val="24"/>
              </w:rPr>
              <w:t>Entity Financial Statements</w:t>
            </w:r>
          </w:p>
          <w:p w14:paraId="1B393422" w14:textId="68519DC3" w:rsidR="00203C1D" w:rsidRPr="002B5141" w:rsidRDefault="00FE1AA7" w:rsidP="002B5141">
            <w:pPr>
              <w:pStyle w:val="ListParagraph"/>
              <w:numPr>
                <w:ilvl w:val="1"/>
                <w:numId w:val="2"/>
              </w:numPr>
              <w:rPr>
                <w:sz w:val="24"/>
                <w:szCs w:val="24"/>
              </w:rPr>
            </w:pPr>
            <w:r w:rsidRPr="002B5141">
              <w:rPr>
                <w:sz w:val="24"/>
                <w:szCs w:val="24"/>
              </w:rPr>
              <w:t xml:space="preserve">Calculate investor yield </w:t>
            </w:r>
            <w:r w:rsidR="002E5694">
              <w:rPr>
                <w:sz w:val="24"/>
                <w:szCs w:val="24"/>
              </w:rPr>
              <w:t>every quarter</w:t>
            </w:r>
          </w:p>
        </w:tc>
        <w:tc>
          <w:tcPr>
            <w:tcW w:w="1885" w:type="dxa"/>
          </w:tcPr>
          <w:p w14:paraId="7C91BC43" w14:textId="364E05CA" w:rsidR="00203C1D" w:rsidRDefault="00294C40" w:rsidP="00203C1D">
            <w:pPr>
              <w:rPr>
                <w:sz w:val="24"/>
                <w:szCs w:val="24"/>
              </w:rPr>
            </w:pPr>
            <w:r>
              <w:rPr>
                <w:sz w:val="24"/>
                <w:szCs w:val="24"/>
              </w:rPr>
              <w:t>4</w:t>
            </w:r>
            <w:r w:rsidR="00C67800">
              <w:rPr>
                <w:sz w:val="24"/>
                <w:szCs w:val="24"/>
              </w:rPr>
              <w:t>0%</w:t>
            </w:r>
          </w:p>
        </w:tc>
      </w:tr>
      <w:tr w:rsidR="00203C1D" w14:paraId="16CEF666" w14:textId="77777777" w:rsidTr="00015442">
        <w:tc>
          <w:tcPr>
            <w:tcW w:w="8905" w:type="dxa"/>
          </w:tcPr>
          <w:p w14:paraId="07DBC82E" w14:textId="0EF4F826" w:rsidR="00FE1AA7" w:rsidRPr="00FE1AA7" w:rsidRDefault="002E5694" w:rsidP="00FE1AA7">
            <w:pPr>
              <w:rPr>
                <w:b/>
                <w:sz w:val="24"/>
                <w:szCs w:val="24"/>
              </w:rPr>
            </w:pPr>
            <w:r>
              <w:rPr>
                <w:b/>
                <w:sz w:val="24"/>
                <w:szCs w:val="24"/>
              </w:rPr>
              <w:t>Year-End</w:t>
            </w:r>
            <w:r w:rsidR="00FE1AA7" w:rsidRPr="00FE1AA7">
              <w:rPr>
                <w:b/>
                <w:sz w:val="24"/>
                <w:szCs w:val="24"/>
              </w:rPr>
              <w:t xml:space="preserve"> Reporting</w:t>
            </w:r>
          </w:p>
          <w:p w14:paraId="159B4C7A" w14:textId="4F0D4F7D" w:rsidR="00FE1AA7" w:rsidRPr="00DB784A" w:rsidRDefault="00FE1AA7" w:rsidP="00DB784A">
            <w:pPr>
              <w:pStyle w:val="ListParagraph"/>
              <w:numPr>
                <w:ilvl w:val="0"/>
                <w:numId w:val="4"/>
              </w:numPr>
              <w:rPr>
                <w:sz w:val="24"/>
                <w:szCs w:val="24"/>
              </w:rPr>
            </w:pPr>
            <w:r w:rsidRPr="00DB784A">
              <w:rPr>
                <w:sz w:val="24"/>
                <w:szCs w:val="24"/>
              </w:rPr>
              <w:t xml:space="preserve">Update financial models quarterly and at </w:t>
            </w:r>
            <w:r w:rsidR="002E5694">
              <w:rPr>
                <w:sz w:val="24"/>
                <w:szCs w:val="24"/>
              </w:rPr>
              <w:t>year-end</w:t>
            </w:r>
          </w:p>
          <w:p w14:paraId="01D1ADE7" w14:textId="67A92368" w:rsidR="00FE1AA7" w:rsidRPr="00DB784A" w:rsidRDefault="00FE1AA7" w:rsidP="00DB784A">
            <w:pPr>
              <w:pStyle w:val="ListParagraph"/>
              <w:numPr>
                <w:ilvl w:val="0"/>
                <w:numId w:val="4"/>
              </w:numPr>
              <w:rPr>
                <w:sz w:val="24"/>
                <w:szCs w:val="24"/>
              </w:rPr>
            </w:pPr>
            <w:r w:rsidRPr="00DB784A">
              <w:rPr>
                <w:sz w:val="24"/>
                <w:szCs w:val="24"/>
              </w:rPr>
              <w:t xml:space="preserve">Review </w:t>
            </w:r>
            <w:r w:rsidR="002E5694">
              <w:rPr>
                <w:sz w:val="24"/>
                <w:szCs w:val="24"/>
              </w:rPr>
              <w:t>lower-tier</w:t>
            </w:r>
            <w:r w:rsidRPr="00DB784A">
              <w:rPr>
                <w:sz w:val="24"/>
                <w:szCs w:val="24"/>
              </w:rPr>
              <w:t xml:space="preserve"> partnership audits and tax returns </w:t>
            </w:r>
          </w:p>
          <w:p w14:paraId="640938A1" w14:textId="4864C552" w:rsidR="00FE1AA7" w:rsidRPr="00DB784A" w:rsidRDefault="00FE1AA7" w:rsidP="00DB784A">
            <w:pPr>
              <w:pStyle w:val="ListParagraph"/>
              <w:numPr>
                <w:ilvl w:val="0"/>
                <w:numId w:val="4"/>
              </w:numPr>
              <w:rPr>
                <w:sz w:val="24"/>
                <w:szCs w:val="24"/>
              </w:rPr>
            </w:pPr>
            <w:r w:rsidRPr="00DB784A">
              <w:rPr>
                <w:sz w:val="24"/>
                <w:szCs w:val="24"/>
              </w:rPr>
              <w:t xml:space="preserve">Evaluate tax positions taken by </w:t>
            </w:r>
            <w:r w:rsidR="002E5694">
              <w:rPr>
                <w:sz w:val="24"/>
                <w:szCs w:val="24"/>
              </w:rPr>
              <w:t>lower-tier</w:t>
            </w:r>
            <w:r w:rsidRPr="00DB784A">
              <w:rPr>
                <w:sz w:val="24"/>
                <w:szCs w:val="24"/>
              </w:rPr>
              <w:t xml:space="preserve"> partnership entities</w:t>
            </w:r>
          </w:p>
          <w:p w14:paraId="50CE5DCB" w14:textId="77777777" w:rsidR="00203C1D" w:rsidRPr="00DB784A" w:rsidRDefault="00FE1AA7" w:rsidP="00DB784A">
            <w:pPr>
              <w:pStyle w:val="ListParagraph"/>
              <w:numPr>
                <w:ilvl w:val="0"/>
                <w:numId w:val="4"/>
              </w:numPr>
              <w:rPr>
                <w:sz w:val="24"/>
                <w:szCs w:val="24"/>
              </w:rPr>
            </w:pPr>
            <w:r w:rsidRPr="00DB784A">
              <w:rPr>
                <w:sz w:val="24"/>
                <w:szCs w:val="24"/>
              </w:rPr>
              <w:t>Prepare documentation for preliminary and year-end fieldwork</w:t>
            </w:r>
          </w:p>
        </w:tc>
        <w:tc>
          <w:tcPr>
            <w:tcW w:w="1885" w:type="dxa"/>
          </w:tcPr>
          <w:p w14:paraId="17F11568" w14:textId="77777777" w:rsidR="00203C1D" w:rsidRDefault="00C67800" w:rsidP="00203C1D">
            <w:pPr>
              <w:rPr>
                <w:sz w:val="24"/>
                <w:szCs w:val="24"/>
              </w:rPr>
            </w:pPr>
            <w:r>
              <w:rPr>
                <w:sz w:val="24"/>
                <w:szCs w:val="24"/>
              </w:rPr>
              <w:t>20%</w:t>
            </w:r>
          </w:p>
        </w:tc>
      </w:tr>
      <w:tr w:rsidR="00203C1D" w14:paraId="33C921B7" w14:textId="77777777" w:rsidTr="00015442">
        <w:tc>
          <w:tcPr>
            <w:tcW w:w="8905" w:type="dxa"/>
          </w:tcPr>
          <w:p w14:paraId="31EC1FBD" w14:textId="698082C3" w:rsidR="00C67800" w:rsidRDefault="00074D73" w:rsidP="00C67800">
            <w:pPr>
              <w:rPr>
                <w:b/>
                <w:sz w:val="24"/>
                <w:szCs w:val="24"/>
              </w:rPr>
            </w:pPr>
            <w:r>
              <w:rPr>
                <w:b/>
                <w:sz w:val="24"/>
                <w:szCs w:val="24"/>
              </w:rPr>
              <w:t xml:space="preserve">Fund Benefit </w:t>
            </w:r>
            <w:r w:rsidR="00123D0C">
              <w:rPr>
                <w:b/>
                <w:sz w:val="24"/>
                <w:szCs w:val="24"/>
              </w:rPr>
              <w:t>Analysis</w:t>
            </w:r>
          </w:p>
          <w:p w14:paraId="6EB60174" w14:textId="45538FC9" w:rsidR="00123D0C" w:rsidRPr="00C35240" w:rsidRDefault="00037C52" w:rsidP="00C35240">
            <w:pPr>
              <w:pStyle w:val="ListParagraph"/>
              <w:numPr>
                <w:ilvl w:val="0"/>
                <w:numId w:val="3"/>
              </w:numPr>
              <w:rPr>
                <w:bCs/>
                <w:sz w:val="24"/>
                <w:szCs w:val="24"/>
              </w:rPr>
            </w:pPr>
            <w:r w:rsidRPr="00C35240">
              <w:rPr>
                <w:bCs/>
                <w:sz w:val="24"/>
                <w:szCs w:val="24"/>
              </w:rPr>
              <w:t>Prepare</w:t>
            </w:r>
            <w:r w:rsidR="00F5460F" w:rsidRPr="00C35240">
              <w:rPr>
                <w:bCs/>
                <w:sz w:val="24"/>
                <w:szCs w:val="24"/>
              </w:rPr>
              <w:t xml:space="preserve"> investor benefit schedules and evaluate the rate of return</w:t>
            </w:r>
            <w:r w:rsidR="003D4107" w:rsidRPr="00C35240">
              <w:rPr>
                <w:bCs/>
                <w:sz w:val="24"/>
                <w:szCs w:val="24"/>
              </w:rPr>
              <w:t xml:space="preserve"> quarterly</w:t>
            </w:r>
          </w:p>
          <w:p w14:paraId="2B74A0D6" w14:textId="08718C72" w:rsidR="003D4107" w:rsidRDefault="003D4107" w:rsidP="00C35240">
            <w:pPr>
              <w:pStyle w:val="ListParagraph"/>
              <w:numPr>
                <w:ilvl w:val="0"/>
                <w:numId w:val="3"/>
              </w:numPr>
              <w:rPr>
                <w:bCs/>
                <w:sz w:val="24"/>
                <w:szCs w:val="24"/>
              </w:rPr>
            </w:pPr>
            <w:r w:rsidRPr="00C35240">
              <w:rPr>
                <w:bCs/>
                <w:sz w:val="24"/>
                <w:szCs w:val="24"/>
              </w:rPr>
              <w:t xml:space="preserve">Provide </w:t>
            </w:r>
            <w:r w:rsidR="003B6959" w:rsidRPr="00C35240">
              <w:rPr>
                <w:bCs/>
                <w:sz w:val="24"/>
                <w:szCs w:val="24"/>
              </w:rPr>
              <w:t xml:space="preserve">analysis and recommendations on </w:t>
            </w:r>
            <w:r w:rsidR="00C35240">
              <w:rPr>
                <w:bCs/>
                <w:sz w:val="24"/>
                <w:szCs w:val="24"/>
              </w:rPr>
              <w:t xml:space="preserve">credit </w:t>
            </w:r>
            <w:r w:rsidR="002E5694">
              <w:rPr>
                <w:bCs/>
                <w:sz w:val="24"/>
                <w:szCs w:val="24"/>
              </w:rPr>
              <w:t>adjusters'</w:t>
            </w:r>
            <w:r w:rsidR="001E2E0F">
              <w:rPr>
                <w:bCs/>
                <w:sz w:val="24"/>
                <w:szCs w:val="24"/>
              </w:rPr>
              <w:t xml:space="preserve"> decisions</w:t>
            </w:r>
          </w:p>
          <w:p w14:paraId="19C05A6B" w14:textId="24BB729C" w:rsidR="00C35240" w:rsidRPr="00B57A11" w:rsidRDefault="004932E6" w:rsidP="00C35240">
            <w:pPr>
              <w:pStyle w:val="ListParagraph"/>
              <w:numPr>
                <w:ilvl w:val="0"/>
                <w:numId w:val="3"/>
              </w:numPr>
              <w:rPr>
                <w:bCs/>
                <w:sz w:val="24"/>
                <w:szCs w:val="24"/>
              </w:rPr>
            </w:pPr>
            <w:r w:rsidRPr="00B57A11">
              <w:rPr>
                <w:bCs/>
                <w:sz w:val="24"/>
                <w:szCs w:val="24"/>
              </w:rPr>
              <w:t xml:space="preserve">Run projections on the impact of </w:t>
            </w:r>
            <w:r w:rsidR="001655DC" w:rsidRPr="00B57A11">
              <w:rPr>
                <w:bCs/>
                <w:sz w:val="24"/>
                <w:szCs w:val="24"/>
              </w:rPr>
              <w:t xml:space="preserve">changes from the closing investment benefit stream </w:t>
            </w:r>
            <w:r w:rsidR="00B57A11" w:rsidRPr="00B57A11">
              <w:rPr>
                <w:bCs/>
                <w:sz w:val="24"/>
                <w:szCs w:val="24"/>
              </w:rPr>
              <w:t>on the investor’s rate of return</w:t>
            </w:r>
          </w:p>
          <w:p w14:paraId="4A8A665C" w14:textId="77777777" w:rsidR="00203C1D" w:rsidRDefault="00203C1D" w:rsidP="00C67800">
            <w:pPr>
              <w:rPr>
                <w:sz w:val="24"/>
                <w:szCs w:val="24"/>
              </w:rPr>
            </w:pPr>
          </w:p>
        </w:tc>
        <w:tc>
          <w:tcPr>
            <w:tcW w:w="1885" w:type="dxa"/>
          </w:tcPr>
          <w:p w14:paraId="3A85A2F3" w14:textId="30714DDF" w:rsidR="00203C1D" w:rsidRDefault="00D93ED2" w:rsidP="00203C1D">
            <w:pPr>
              <w:rPr>
                <w:sz w:val="24"/>
                <w:szCs w:val="24"/>
              </w:rPr>
            </w:pPr>
            <w:r>
              <w:rPr>
                <w:sz w:val="24"/>
                <w:szCs w:val="24"/>
              </w:rPr>
              <w:t>3</w:t>
            </w:r>
            <w:r w:rsidR="00C67800">
              <w:rPr>
                <w:sz w:val="24"/>
                <w:szCs w:val="24"/>
              </w:rPr>
              <w:t>0%</w:t>
            </w:r>
          </w:p>
        </w:tc>
      </w:tr>
      <w:tr w:rsidR="00203C1D" w14:paraId="2A3B6A4A" w14:textId="77777777" w:rsidTr="00015442">
        <w:tc>
          <w:tcPr>
            <w:tcW w:w="8905" w:type="dxa"/>
          </w:tcPr>
          <w:p w14:paraId="126A1CFC" w14:textId="77777777" w:rsidR="00294C40" w:rsidRDefault="00294C40" w:rsidP="00294C40">
            <w:pPr>
              <w:rPr>
                <w:b/>
                <w:sz w:val="24"/>
                <w:szCs w:val="24"/>
              </w:rPr>
            </w:pPr>
            <w:r>
              <w:rPr>
                <w:b/>
                <w:sz w:val="24"/>
                <w:szCs w:val="24"/>
              </w:rPr>
              <w:t>Special Projects</w:t>
            </w:r>
          </w:p>
          <w:p w14:paraId="0BE6AE6A" w14:textId="7CF79F76" w:rsidR="00294C40" w:rsidRDefault="002E5694" w:rsidP="00294C40">
            <w:pPr>
              <w:rPr>
                <w:sz w:val="24"/>
                <w:szCs w:val="24"/>
              </w:rPr>
            </w:pPr>
            <w:r>
              <w:rPr>
                <w:sz w:val="24"/>
                <w:szCs w:val="24"/>
              </w:rPr>
              <w:t>On-demand</w:t>
            </w:r>
            <w:r w:rsidR="00294C40">
              <w:rPr>
                <w:sz w:val="24"/>
                <w:szCs w:val="24"/>
              </w:rPr>
              <w:t xml:space="preserve"> reporting and analysis of the financial information related to fund entities</w:t>
            </w:r>
          </w:p>
          <w:p w14:paraId="358F332E" w14:textId="77777777" w:rsidR="00203C1D" w:rsidRDefault="00203C1D" w:rsidP="00203C1D">
            <w:pPr>
              <w:rPr>
                <w:sz w:val="24"/>
                <w:szCs w:val="24"/>
              </w:rPr>
            </w:pPr>
          </w:p>
          <w:p w14:paraId="51AB4BEB" w14:textId="77777777" w:rsidR="00203C1D" w:rsidRDefault="00203C1D" w:rsidP="00203C1D">
            <w:pPr>
              <w:rPr>
                <w:sz w:val="24"/>
                <w:szCs w:val="24"/>
              </w:rPr>
            </w:pPr>
          </w:p>
        </w:tc>
        <w:tc>
          <w:tcPr>
            <w:tcW w:w="1885" w:type="dxa"/>
          </w:tcPr>
          <w:p w14:paraId="338C58E7" w14:textId="0A773FC6" w:rsidR="00203C1D" w:rsidRDefault="00D965FA" w:rsidP="00203C1D">
            <w:pPr>
              <w:rPr>
                <w:sz w:val="24"/>
                <w:szCs w:val="24"/>
              </w:rPr>
            </w:pPr>
            <w:r>
              <w:rPr>
                <w:sz w:val="24"/>
                <w:szCs w:val="24"/>
              </w:rPr>
              <w:t>Ad hoc</w:t>
            </w:r>
          </w:p>
        </w:tc>
      </w:tr>
    </w:tbl>
    <w:p w14:paraId="254DC6EB" w14:textId="77777777" w:rsidR="002073B9" w:rsidRDefault="002073B9" w:rsidP="00203C1D">
      <w:pPr>
        <w:rPr>
          <w:b/>
          <w:sz w:val="24"/>
          <w:szCs w:val="24"/>
        </w:rPr>
      </w:pPr>
    </w:p>
    <w:p w14:paraId="3A234E25" w14:textId="77777777" w:rsidR="00EB1CEB" w:rsidRDefault="00EB1CEB" w:rsidP="00EB1CEB">
      <w:pPr>
        <w:rPr>
          <w:b/>
          <w:sz w:val="40"/>
          <w:szCs w:val="40"/>
        </w:rPr>
      </w:pPr>
      <w:r>
        <w:rPr>
          <w:b/>
          <w:noProof/>
          <w:sz w:val="40"/>
          <w:szCs w:val="40"/>
        </w:rPr>
        <w:drawing>
          <wp:inline distT="0" distB="0" distL="0" distR="0" wp14:anchorId="0956364B" wp14:editId="4B6D91F2">
            <wp:extent cx="1113720" cy="450850"/>
            <wp:effectExtent l="0" t="0" r="0" b="6350"/>
            <wp:docPr id="1117529819" name="Picture 1" descr="A blue and orange logo&#10;&#10;AI-generated content may be incorrect.">
              <a:extLst xmlns:a="http://schemas.openxmlformats.org/drawingml/2006/main">
                <a:ext uri="{FF2B5EF4-FFF2-40B4-BE49-F238E27FC236}">
                  <a16:creationId xmlns:a16="http://schemas.microsoft.com/office/drawing/2014/main" id="{B8C80D71-9B75-4F33-8902-F25348FBC7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12006" name="Picture 1" descr="A blue and orang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8659" cy="460946"/>
                    </a:xfrm>
                    <a:prstGeom prst="rect">
                      <a:avLst/>
                    </a:prstGeom>
                  </pic:spPr>
                </pic:pic>
              </a:graphicData>
            </a:graphic>
          </wp:inline>
        </w:drawing>
      </w:r>
    </w:p>
    <w:p w14:paraId="33D4E6EF" w14:textId="2828A3DE" w:rsidR="002073B9" w:rsidRPr="00816C97" w:rsidRDefault="00816C97" w:rsidP="00816C97">
      <w:pPr>
        <w:jc w:val="center"/>
        <w:rPr>
          <w:b/>
          <w:sz w:val="40"/>
          <w:szCs w:val="40"/>
        </w:rPr>
      </w:pPr>
      <w:r w:rsidRPr="00816C97">
        <w:rPr>
          <w:b/>
          <w:sz w:val="40"/>
          <w:szCs w:val="40"/>
        </w:rPr>
        <w:t>JOB DESCRIPTIO</w:t>
      </w:r>
      <w:r>
        <w:rPr>
          <w:b/>
          <w:sz w:val="40"/>
          <w:szCs w:val="40"/>
        </w:rPr>
        <w:t>N</w:t>
      </w:r>
    </w:p>
    <w:p w14:paraId="2EA7C7B3" w14:textId="77777777" w:rsidR="00205F7F" w:rsidRDefault="00205F7F" w:rsidP="00203C1D">
      <w:pPr>
        <w:rPr>
          <w:b/>
          <w:sz w:val="24"/>
          <w:szCs w:val="24"/>
        </w:rPr>
      </w:pPr>
      <w:r>
        <w:rPr>
          <w:b/>
          <w:sz w:val="24"/>
          <w:szCs w:val="24"/>
        </w:rPr>
        <w:t>Education/Certifications:</w:t>
      </w:r>
    </w:p>
    <w:tbl>
      <w:tblPr>
        <w:tblStyle w:val="TableGrid"/>
        <w:tblW w:w="0" w:type="auto"/>
        <w:tblLook w:val="04A0" w:firstRow="1" w:lastRow="0" w:firstColumn="1" w:lastColumn="0" w:noHBand="0" w:noVBand="1"/>
      </w:tblPr>
      <w:tblGrid>
        <w:gridCol w:w="10790"/>
      </w:tblGrid>
      <w:tr w:rsidR="00205F7F" w14:paraId="2FD44F18" w14:textId="77777777" w:rsidTr="00205F7F">
        <w:tc>
          <w:tcPr>
            <w:tcW w:w="10790" w:type="dxa"/>
          </w:tcPr>
          <w:p w14:paraId="23C98259" w14:textId="6AC60436" w:rsidR="00205F7F" w:rsidRPr="002E5694" w:rsidRDefault="00DD564B" w:rsidP="00203C1D">
            <w:pPr>
              <w:numPr>
                <w:ilvl w:val="0"/>
                <w:numId w:val="5"/>
              </w:numPr>
              <w:rPr>
                <w:b/>
                <w:sz w:val="24"/>
                <w:szCs w:val="24"/>
              </w:rPr>
            </w:pPr>
            <w:r w:rsidRPr="002E5694">
              <w:rPr>
                <w:sz w:val="24"/>
                <w:szCs w:val="24"/>
              </w:rPr>
              <w:t xml:space="preserve">Bachelor’s degree in </w:t>
            </w:r>
            <w:r w:rsidR="002E5694" w:rsidRPr="002E5694">
              <w:rPr>
                <w:sz w:val="24"/>
                <w:szCs w:val="24"/>
              </w:rPr>
              <w:t xml:space="preserve">a </w:t>
            </w:r>
            <w:r w:rsidRPr="002E5694">
              <w:rPr>
                <w:sz w:val="24"/>
                <w:szCs w:val="24"/>
              </w:rPr>
              <w:t>business</w:t>
            </w:r>
            <w:r w:rsidR="002E5694" w:rsidRPr="002E5694">
              <w:rPr>
                <w:sz w:val="24"/>
                <w:szCs w:val="24"/>
              </w:rPr>
              <w:t>-</w:t>
            </w:r>
            <w:r w:rsidRPr="002E5694">
              <w:rPr>
                <w:sz w:val="24"/>
                <w:szCs w:val="24"/>
              </w:rPr>
              <w:t>related field</w:t>
            </w:r>
            <w:r w:rsidR="002E5694" w:rsidRPr="002E5694">
              <w:rPr>
                <w:sz w:val="24"/>
                <w:szCs w:val="24"/>
              </w:rPr>
              <w:t xml:space="preserve"> - </w:t>
            </w:r>
            <w:r w:rsidRPr="002E5694">
              <w:rPr>
                <w:sz w:val="24"/>
                <w:szCs w:val="24"/>
              </w:rPr>
              <w:t>accounting or finance</w:t>
            </w:r>
            <w:r w:rsidR="002E5694" w:rsidRPr="002E5694">
              <w:rPr>
                <w:sz w:val="24"/>
                <w:szCs w:val="24"/>
              </w:rPr>
              <w:t>,</w:t>
            </w:r>
            <w:r w:rsidRPr="002E5694">
              <w:rPr>
                <w:sz w:val="24"/>
                <w:szCs w:val="24"/>
              </w:rPr>
              <w:t xml:space="preserve"> or equivalent work experience</w:t>
            </w:r>
          </w:p>
          <w:p w14:paraId="049A55A5" w14:textId="77777777" w:rsidR="00205F7F" w:rsidRDefault="00205F7F" w:rsidP="00203C1D">
            <w:pPr>
              <w:rPr>
                <w:b/>
                <w:sz w:val="24"/>
                <w:szCs w:val="24"/>
              </w:rPr>
            </w:pPr>
          </w:p>
        </w:tc>
      </w:tr>
    </w:tbl>
    <w:p w14:paraId="2B82DADB" w14:textId="77777777" w:rsidR="002E5694" w:rsidRDefault="002E5694" w:rsidP="00205F7F">
      <w:pPr>
        <w:jc w:val="both"/>
        <w:rPr>
          <w:b/>
          <w:sz w:val="24"/>
          <w:szCs w:val="24"/>
        </w:rPr>
      </w:pPr>
    </w:p>
    <w:p w14:paraId="1AB9D6E7" w14:textId="49A3C9D5" w:rsidR="00205F7F" w:rsidRDefault="00205F7F" w:rsidP="00205F7F">
      <w:pPr>
        <w:jc w:val="both"/>
        <w:rPr>
          <w:b/>
          <w:sz w:val="24"/>
          <w:szCs w:val="24"/>
        </w:rPr>
      </w:pPr>
      <w:r>
        <w:rPr>
          <w:b/>
          <w:sz w:val="24"/>
          <w:szCs w:val="24"/>
        </w:rPr>
        <w:t>Work Experience:</w:t>
      </w:r>
    </w:p>
    <w:tbl>
      <w:tblPr>
        <w:tblStyle w:val="TableGrid"/>
        <w:tblW w:w="0" w:type="auto"/>
        <w:tblLook w:val="04A0" w:firstRow="1" w:lastRow="0" w:firstColumn="1" w:lastColumn="0" w:noHBand="0" w:noVBand="1"/>
      </w:tblPr>
      <w:tblGrid>
        <w:gridCol w:w="10790"/>
      </w:tblGrid>
      <w:tr w:rsidR="00205F7F" w14:paraId="48FDF7B6" w14:textId="77777777" w:rsidTr="00205F7F">
        <w:tc>
          <w:tcPr>
            <w:tcW w:w="10790" w:type="dxa"/>
          </w:tcPr>
          <w:p w14:paraId="3330027E" w14:textId="4A19E719" w:rsidR="00205F7F" w:rsidRPr="00D93ED2" w:rsidRDefault="00412748" w:rsidP="00205F7F">
            <w:pPr>
              <w:numPr>
                <w:ilvl w:val="0"/>
                <w:numId w:val="5"/>
              </w:numPr>
              <w:jc w:val="both"/>
              <w:rPr>
                <w:b/>
                <w:sz w:val="24"/>
                <w:szCs w:val="24"/>
              </w:rPr>
            </w:pPr>
            <w:r w:rsidRPr="00412748">
              <w:rPr>
                <w:sz w:val="24"/>
                <w:szCs w:val="24"/>
              </w:rPr>
              <w:t xml:space="preserve">5-7 years of experience and exhibited competency in tax advantaged real estate investments: LIHTC, NMTC, HTC.   </w:t>
            </w:r>
          </w:p>
          <w:p w14:paraId="53DC643A" w14:textId="77777777" w:rsidR="00205F7F" w:rsidRDefault="00205F7F" w:rsidP="00205F7F">
            <w:pPr>
              <w:jc w:val="both"/>
              <w:rPr>
                <w:b/>
                <w:sz w:val="24"/>
                <w:szCs w:val="24"/>
              </w:rPr>
            </w:pPr>
          </w:p>
        </w:tc>
      </w:tr>
    </w:tbl>
    <w:p w14:paraId="5214D782" w14:textId="77777777" w:rsidR="00205F7F" w:rsidRPr="00205F7F" w:rsidRDefault="00205F7F" w:rsidP="00205F7F">
      <w:pPr>
        <w:jc w:val="both"/>
        <w:rPr>
          <w:b/>
          <w:sz w:val="24"/>
          <w:szCs w:val="24"/>
        </w:rPr>
      </w:pPr>
    </w:p>
    <w:p w14:paraId="049C80A1" w14:textId="77777777" w:rsidR="00203C1D" w:rsidRDefault="00205F7F" w:rsidP="00203C1D">
      <w:pPr>
        <w:rPr>
          <w:b/>
          <w:sz w:val="24"/>
          <w:szCs w:val="24"/>
        </w:rPr>
      </w:pPr>
      <w:r>
        <w:rPr>
          <w:b/>
          <w:sz w:val="24"/>
          <w:szCs w:val="24"/>
        </w:rPr>
        <w:t>Knowledge, Skills &amp; Abilities:</w:t>
      </w:r>
    </w:p>
    <w:tbl>
      <w:tblPr>
        <w:tblStyle w:val="TableGrid"/>
        <w:tblW w:w="0" w:type="auto"/>
        <w:tblLook w:val="04A0" w:firstRow="1" w:lastRow="0" w:firstColumn="1" w:lastColumn="0" w:noHBand="0" w:noVBand="1"/>
      </w:tblPr>
      <w:tblGrid>
        <w:gridCol w:w="10790"/>
      </w:tblGrid>
      <w:tr w:rsidR="00205F7F" w14:paraId="03E7140F" w14:textId="77777777" w:rsidTr="00205F7F">
        <w:tc>
          <w:tcPr>
            <w:tcW w:w="10790" w:type="dxa"/>
          </w:tcPr>
          <w:p w14:paraId="04C46B5E" w14:textId="3860EEBD" w:rsidR="00205F7F" w:rsidRDefault="00FE1AA7" w:rsidP="00203C1D">
            <w:pPr>
              <w:rPr>
                <w:b/>
                <w:sz w:val="24"/>
                <w:szCs w:val="24"/>
              </w:rPr>
            </w:pPr>
            <w:proofErr w:type="gramStart"/>
            <w:r w:rsidRPr="00FE1AA7">
              <w:rPr>
                <w:sz w:val="24"/>
                <w:szCs w:val="24"/>
              </w:rPr>
              <w:t>Candidate</w:t>
            </w:r>
            <w:proofErr w:type="gramEnd"/>
            <w:r w:rsidRPr="00FE1AA7">
              <w:rPr>
                <w:sz w:val="24"/>
                <w:szCs w:val="24"/>
              </w:rPr>
              <w:t xml:space="preserve"> must be able to demonstrate strong customer service skills in interactions with investors, lenders and developer partners in a financial services environment.  </w:t>
            </w:r>
            <w:proofErr w:type="gramStart"/>
            <w:r w:rsidRPr="00FE1AA7">
              <w:rPr>
                <w:sz w:val="24"/>
                <w:szCs w:val="24"/>
              </w:rPr>
              <w:t>Candidate</w:t>
            </w:r>
            <w:proofErr w:type="gramEnd"/>
            <w:r w:rsidRPr="00FE1AA7">
              <w:rPr>
                <w:sz w:val="24"/>
                <w:szCs w:val="24"/>
              </w:rPr>
              <w:t xml:space="preserve"> must be able to communicate and work effectively with individuals representing various departments and </w:t>
            </w:r>
            <w:proofErr w:type="gramStart"/>
            <w:r w:rsidRPr="00FE1AA7">
              <w:rPr>
                <w:sz w:val="24"/>
                <w:szCs w:val="24"/>
              </w:rPr>
              <w:t>having</w:t>
            </w:r>
            <w:proofErr w:type="gramEnd"/>
            <w:r w:rsidRPr="00FE1AA7">
              <w:rPr>
                <w:sz w:val="24"/>
                <w:szCs w:val="24"/>
              </w:rPr>
              <w:t xml:space="preserve"> varying specialties, both financial and non-financial.  </w:t>
            </w:r>
            <w:proofErr w:type="gramStart"/>
            <w:r w:rsidRPr="00FE1AA7">
              <w:rPr>
                <w:sz w:val="24"/>
                <w:szCs w:val="24"/>
              </w:rPr>
              <w:t>Candidate</w:t>
            </w:r>
            <w:proofErr w:type="gramEnd"/>
            <w:r w:rsidRPr="00FE1AA7">
              <w:rPr>
                <w:sz w:val="24"/>
                <w:szCs w:val="24"/>
              </w:rPr>
              <w:t xml:space="preserve"> must possess strong organizational skills.  Requires knowledge of Microsoft Office Suite, and a high proficiency in Excel and Word.  </w:t>
            </w:r>
            <w:r w:rsidR="007A604B">
              <w:rPr>
                <w:sz w:val="24"/>
                <w:szCs w:val="24"/>
              </w:rPr>
              <w:t xml:space="preserve">Experience with Blackbaud a plus.  </w:t>
            </w:r>
            <w:r w:rsidRPr="00FE1AA7">
              <w:rPr>
                <w:sz w:val="24"/>
                <w:szCs w:val="24"/>
              </w:rPr>
              <w:t xml:space="preserve">Overtime hours </w:t>
            </w:r>
            <w:r w:rsidR="007D6665" w:rsidRPr="00FE1AA7">
              <w:rPr>
                <w:sz w:val="24"/>
                <w:szCs w:val="24"/>
              </w:rPr>
              <w:t>are expected</w:t>
            </w:r>
            <w:r w:rsidRPr="00FE1AA7">
              <w:rPr>
                <w:sz w:val="24"/>
                <w:szCs w:val="24"/>
              </w:rPr>
              <w:t xml:space="preserve"> during certain months of the year.  </w:t>
            </w:r>
          </w:p>
          <w:p w14:paraId="7E57A879" w14:textId="77777777" w:rsidR="00205F7F" w:rsidRDefault="00205F7F" w:rsidP="00203C1D">
            <w:pPr>
              <w:rPr>
                <w:b/>
                <w:sz w:val="24"/>
                <w:szCs w:val="24"/>
              </w:rPr>
            </w:pPr>
          </w:p>
        </w:tc>
      </w:tr>
    </w:tbl>
    <w:p w14:paraId="52F93EB7" w14:textId="77777777" w:rsidR="00205F7F" w:rsidRDefault="00205F7F" w:rsidP="00203C1D">
      <w:pPr>
        <w:rPr>
          <w:b/>
          <w:sz w:val="24"/>
          <w:szCs w:val="24"/>
        </w:rPr>
      </w:pPr>
    </w:p>
    <w:p w14:paraId="407210BB" w14:textId="18463A87" w:rsidR="001B6088" w:rsidRPr="003725E8" w:rsidRDefault="001B6088" w:rsidP="001B6088">
      <w:pPr>
        <w:pStyle w:val="BodyText"/>
        <w:spacing w:before="93" w:line="252" w:lineRule="auto"/>
        <w:ind w:left="100" w:right="693" w:firstLine="0"/>
        <w:jc w:val="both"/>
        <w:rPr>
          <w:rFonts w:asciiTheme="minorHAnsi" w:hAnsiTheme="minorHAnsi" w:cstheme="minorHAnsi"/>
          <w:sz w:val="24"/>
          <w:szCs w:val="24"/>
        </w:rPr>
      </w:pPr>
      <w:r w:rsidRPr="003725E8">
        <w:rPr>
          <w:rFonts w:asciiTheme="minorHAnsi" w:hAnsiTheme="minorHAnsi" w:cstheme="minorHAnsi"/>
          <w:b/>
          <w:sz w:val="24"/>
          <w:szCs w:val="24"/>
        </w:rPr>
        <w:t xml:space="preserve">Ohio Capital Corporation for Housing </w:t>
      </w:r>
      <w:r w:rsidRPr="003725E8">
        <w:rPr>
          <w:rFonts w:asciiTheme="minorHAnsi" w:hAnsiTheme="minorHAnsi" w:cstheme="minorHAnsi"/>
          <w:sz w:val="24"/>
          <w:szCs w:val="24"/>
        </w:rPr>
        <w:t>is an independent, mission-driven nonprofit corporation based in Columbus,</w:t>
      </w:r>
      <w:r w:rsidRPr="003725E8">
        <w:rPr>
          <w:rFonts w:asciiTheme="minorHAnsi" w:hAnsiTheme="minorHAnsi" w:cstheme="minorHAnsi"/>
          <w:spacing w:val="-8"/>
          <w:sz w:val="24"/>
          <w:szCs w:val="24"/>
        </w:rPr>
        <w:t xml:space="preserve"> </w:t>
      </w:r>
      <w:r w:rsidRPr="003725E8">
        <w:rPr>
          <w:rFonts w:asciiTheme="minorHAnsi" w:hAnsiTheme="minorHAnsi" w:cstheme="minorHAnsi"/>
          <w:sz w:val="24"/>
          <w:szCs w:val="24"/>
        </w:rPr>
        <w:t>Ohio,</w:t>
      </w:r>
      <w:r w:rsidRPr="003725E8">
        <w:rPr>
          <w:rFonts w:asciiTheme="minorHAnsi" w:hAnsiTheme="minorHAnsi" w:cstheme="minorHAnsi"/>
          <w:spacing w:val="-8"/>
          <w:sz w:val="24"/>
          <w:szCs w:val="24"/>
        </w:rPr>
        <w:t xml:space="preserve"> </w:t>
      </w:r>
      <w:r w:rsidRPr="003725E8">
        <w:rPr>
          <w:rFonts w:asciiTheme="minorHAnsi" w:hAnsiTheme="minorHAnsi" w:cstheme="minorHAnsi"/>
          <w:sz w:val="24"/>
          <w:szCs w:val="24"/>
        </w:rPr>
        <w:t>that</w:t>
      </w:r>
      <w:r w:rsidRPr="003725E8">
        <w:rPr>
          <w:rFonts w:asciiTheme="minorHAnsi" w:hAnsiTheme="minorHAnsi" w:cstheme="minorHAnsi"/>
          <w:spacing w:val="-7"/>
          <w:sz w:val="24"/>
          <w:szCs w:val="24"/>
        </w:rPr>
        <w:t xml:space="preserve"> </w:t>
      </w:r>
      <w:r w:rsidRPr="003725E8">
        <w:rPr>
          <w:rFonts w:asciiTheme="minorHAnsi" w:hAnsiTheme="minorHAnsi" w:cstheme="minorHAnsi"/>
          <w:sz w:val="24"/>
          <w:szCs w:val="24"/>
        </w:rPr>
        <w:t>works</w:t>
      </w:r>
      <w:r w:rsidRPr="003725E8">
        <w:rPr>
          <w:rFonts w:asciiTheme="minorHAnsi" w:hAnsiTheme="minorHAnsi" w:cstheme="minorHAnsi"/>
          <w:spacing w:val="-7"/>
          <w:sz w:val="24"/>
          <w:szCs w:val="24"/>
        </w:rPr>
        <w:t xml:space="preserve"> </w:t>
      </w:r>
      <w:r w:rsidRPr="003725E8">
        <w:rPr>
          <w:rFonts w:asciiTheme="minorHAnsi" w:hAnsiTheme="minorHAnsi" w:cstheme="minorHAnsi"/>
          <w:sz w:val="24"/>
          <w:szCs w:val="24"/>
        </w:rPr>
        <w:t>with</w:t>
      </w:r>
      <w:r w:rsidRPr="003725E8">
        <w:rPr>
          <w:rFonts w:asciiTheme="minorHAnsi" w:hAnsiTheme="minorHAnsi" w:cstheme="minorHAnsi"/>
          <w:spacing w:val="-4"/>
          <w:sz w:val="24"/>
          <w:szCs w:val="24"/>
        </w:rPr>
        <w:t xml:space="preserve"> </w:t>
      </w:r>
      <w:r w:rsidRPr="003725E8">
        <w:rPr>
          <w:rFonts w:asciiTheme="minorHAnsi" w:hAnsiTheme="minorHAnsi" w:cstheme="minorHAnsi"/>
          <w:sz w:val="24"/>
          <w:szCs w:val="24"/>
        </w:rPr>
        <w:t>private</w:t>
      </w:r>
      <w:r w:rsidRPr="003725E8">
        <w:rPr>
          <w:rFonts w:asciiTheme="minorHAnsi" w:hAnsiTheme="minorHAnsi" w:cstheme="minorHAnsi"/>
          <w:spacing w:val="-4"/>
          <w:sz w:val="24"/>
          <w:szCs w:val="24"/>
        </w:rPr>
        <w:t xml:space="preserve"> </w:t>
      </w:r>
      <w:r w:rsidRPr="003725E8">
        <w:rPr>
          <w:rFonts w:asciiTheme="minorHAnsi" w:hAnsiTheme="minorHAnsi" w:cstheme="minorHAnsi"/>
          <w:sz w:val="24"/>
          <w:szCs w:val="24"/>
        </w:rPr>
        <w:t>and</w:t>
      </w:r>
      <w:r w:rsidRPr="003725E8">
        <w:rPr>
          <w:rFonts w:asciiTheme="minorHAnsi" w:hAnsiTheme="minorHAnsi" w:cstheme="minorHAnsi"/>
          <w:spacing w:val="-3"/>
          <w:sz w:val="24"/>
          <w:szCs w:val="24"/>
        </w:rPr>
        <w:t xml:space="preserve"> </w:t>
      </w:r>
      <w:r w:rsidRPr="003725E8">
        <w:rPr>
          <w:rFonts w:asciiTheme="minorHAnsi" w:hAnsiTheme="minorHAnsi" w:cstheme="minorHAnsi"/>
          <w:sz w:val="24"/>
          <w:szCs w:val="24"/>
        </w:rPr>
        <w:t>public</w:t>
      </w:r>
      <w:r w:rsidRPr="003725E8">
        <w:rPr>
          <w:rFonts w:asciiTheme="minorHAnsi" w:hAnsiTheme="minorHAnsi" w:cstheme="minorHAnsi"/>
          <w:spacing w:val="-12"/>
          <w:sz w:val="24"/>
          <w:szCs w:val="24"/>
        </w:rPr>
        <w:t xml:space="preserve"> </w:t>
      </w:r>
      <w:r w:rsidRPr="003725E8">
        <w:rPr>
          <w:rFonts w:asciiTheme="minorHAnsi" w:hAnsiTheme="minorHAnsi" w:cstheme="minorHAnsi"/>
          <w:sz w:val="24"/>
          <w:szCs w:val="24"/>
        </w:rPr>
        <w:t>developers</w:t>
      </w:r>
      <w:r w:rsidRPr="003725E8">
        <w:rPr>
          <w:rFonts w:asciiTheme="minorHAnsi" w:hAnsiTheme="minorHAnsi" w:cstheme="minorHAnsi"/>
          <w:spacing w:val="-5"/>
          <w:sz w:val="24"/>
          <w:szCs w:val="24"/>
        </w:rPr>
        <w:t xml:space="preserve"> </w:t>
      </w:r>
      <w:r w:rsidRPr="003725E8">
        <w:rPr>
          <w:rFonts w:asciiTheme="minorHAnsi" w:hAnsiTheme="minorHAnsi" w:cstheme="minorHAnsi"/>
          <w:sz w:val="24"/>
          <w:szCs w:val="24"/>
        </w:rPr>
        <w:t>to</w:t>
      </w:r>
      <w:r w:rsidRPr="003725E8">
        <w:rPr>
          <w:rFonts w:asciiTheme="minorHAnsi" w:hAnsiTheme="minorHAnsi" w:cstheme="minorHAnsi"/>
          <w:spacing w:val="-4"/>
          <w:sz w:val="24"/>
          <w:szCs w:val="24"/>
        </w:rPr>
        <w:t xml:space="preserve"> </w:t>
      </w:r>
      <w:r w:rsidRPr="003725E8">
        <w:rPr>
          <w:rFonts w:asciiTheme="minorHAnsi" w:hAnsiTheme="minorHAnsi" w:cstheme="minorHAnsi"/>
          <w:sz w:val="24"/>
          <w:szCs w:val="24"/>
        </w:rPr>
        <w:t>create</w:t>
      </w:r>
      <w:r w:rsidRPr="003725E8">
        <w:rPr>
          <w:rFonts w:asciiTheme="minorHAnsi" w:hAnsiTheme="minorHAnsi" w:cstheme="minorHAnsi"/>
          <w:spacing w:val="-9"/>
          <w:sz w:val="24"/>
          <w:szCs w:val="24"/>
        </w:rPr>
        <w:t xml:space="preserve"> </w:t>
      </w:r>
      <w:r w:rsidRPr="003725E8">
        <w:rPr>
          <w:rFonts w:asciiTheme="minorHAnsi" w:hAnsiTheme="minorHAnsi" w:cstheme="minorHAnsi"/>
          <w:sz w:val="24"/>
          <w:szCs w:val="24"/>
        </w:rPr>
        <w:t>affordable</w:t>
      </w:r>
      <w:r w:rsidRPr="003725E8">
        <w:rPr>
          <w:rFonts w:asciiTheme="minorHAnsi" w:hAnsiTheme="minorHAnsi" w:cstheme="minorHAnsi"/>
          <w:spacing w:val="-8"/>
          <w:sz w:val="24"/>
          <w:szCs w:val="24"/>
        </w:rPr>
        <w:t xml:space="preserve"> </w:t>
      </w:r>
      <w:r w:rsidRPr="003725E8">
        <w:rPr>
          <w:rFonts w:asciiTheme="minorHAnsi" w:hAnsiTheme="minorHAnsi" w:cstheme="minorHAnsi"/>
          <w:sz w:val="24"/>
          <w:szCs w:val="24"/>
        </w:rPr>
        <w:t>housing</w:t>
      </w:r>
      <w:r w:rsidRPr="003725E8">
        <w:rPr>
          <w:rFonts w:asciiTheme="minorHAnsi" w:hAnsiTheme="minorHAnsi" w:cstheme="minorHAnsi"/>
          <w:spacing w:val="-9"/>
          <w:sz w:val="24"/>
          <w:szCs w:val="24"/>
        </w:rPr>
        <w:t xml:space="preserve"> </w:t>
      </w:r>
      <w:r w:rsidRPr="003725E8">
        <w:rPr>
          <w:rFonts w:asciiTheme="minorHAnsi" w:hAnsiTheme="minorHAnsi" w:cstheme="minorHAnsi"/>
          <w:sz w:val="24"/>
          <w:szCs w:val="24"/>
        </w:rPr>
        <w:t>opportunities. Since its inception, OCCH has raised over $7 billion in private capital and invested in over 66,000 units of affordable housing in over 1</w:t>
      </w:r>
      <w:r>
        <w:rPr>
          <w:rFonts w:asciiTheme="minorHAnsi" w:hAnsiTheme="minorHAnsi" w:cstheme="minorHAnsi"/>
          <w:sz w:val="24"/>
          <w:szCs w:val="24"/>
        </w:rPr>
        <w:t>,</w:t>
      </w:r>
      <w:r w:rsidRPr="003725E8">
        <w:rPr>
          <w:rFonts w:asciiTheme="minorHAnsi" w:hAnsiTheme="minorHAnsi" w:cstheme="minorHAnsi"/>
          <w:sz w:val="24"/>
          <w:szCs w:val="24"/>
        </w:rPr>
        <w:t>100</w:t>
      </w:r>
      <w:r w:rsidRPr="003725E8">
        <w:rPr>
          <w:rFonts w:asciiTheme="minorHAnsi" w:hAnsiTheme="minorHAnsi" w:cstheme="minorHAnsi"/>
          <w:spacing w:val="-12"/>
          <w:sz w:val="24"/>
          <w:szCs w:val="24"/>
        </w:rPr>
        <w:t xml:space="preserve"> </w:t>
      </w:r>
      <w:r w:rsidRPr="003725E8">
        <w:rPr>
          <w:rFonts w:asciiTheme="minorHAnsi" w:hAnsiTheme="minorHAnsi" w:cstheme="minorHAnsi"/>
          <w:sz w:val="24"/>
          <w:szCs w:val="24"/>
        </w:rPr>
        <w:t>developments.</w:t>
      </w:r>
    </w:p>
    <w:p w14:paraId="72F8A0EF" w14:textId="77777777" w:rsidR="001B6088" w:rsidRPr="003725E8" w:rsidRDefault="001B6088" w:rsidP="001B6088">
      <w:pPr>
        <w:spacing w:before="158" w:line="254" w:lineRule="auto"/>
        <w:ind w:left="100" w:right="158"/>
        <w:jc w:val="both"/>
        <w:rPr>
          <w:rFonts w:cstheme="minorHAnsi"/>
          <w:sz w:val="24"/>
          <w:szCs w:val="24"/>
        </w:rPr>
      </w:pPr>
      <w:r w:rsidRPr="003725E8">
        <w:rPr>
          <w:rFonts w:cstheme="minorHAnsi"/>
          <w:sz w:val="24"/>
          <w:szCs w:val="24"/>
        </w:rPr>
        <w:t xml:space="preserve">Our mission is to </w:t>
      </w:r>
      <w:r w:rsidRPr="003725E8">
        <w:rPr>
          <w:rFonts w:cstheme="minorHAnsi"/>
          <w:b/>
          <w:i/>
          <w:sz w:val="24"/>
          <w:szCs w:val="24"/>
        </w:rPr>
        <w:t xml:space="preserve">advance the preservation, production, and management of affordable housing through collaborative partnerships and innovative thought leadership.  </w:t>
      </w:r>
      <w:r w:rsidRPr="003725E8">
        <w:rPr>
          <w:rFonts w:cstheme="minorHAnsi"/>
          <w:sz w:val="24"/>
          <w:szCs w:val="24"/>
        </w:rPr>
        <w:t xml:space="preserve">Our mission is at the heart of everything we do. Our core values are our building blocks and foundation. Our values of </w:t>
      </w:r>
      <w:r w:rsidRPr="003725E8">
        <w:rPr>
          <w:rFonts w:cstheme="minorHAnsi"/>
          <w:b/>
          <w:sz w:val="24"/>
          <w:szCs w:val="24"/>
        </w:rPr>
        <w:t>CREATING: C</w:t>
      </w:r>
      <w:r w:rsidRPr="003725E8">
        <w:rPr>
          <w:rFonts w:cstheme="minorHAnsi"/>
          <w:sz w:val="24"/>
          <w:szCs w:val="24"/>
        </w:rPr>
        <w:t xml:space="preserve">ollaboration &amp; </w:t>
      </w:r>
      <w:r w:rsidRPr="003725E8">
        <w:rPr>
          <w:rFonts w:cstheme="minorHAnsi"/>
          <w:b/>
          <w:sz w:val="24"/>
          <w:szCs w:val="24"/>
        </w:rPr>
        <w:t>C</w:t>
      </w:r>
      <w:r w:rsidRPr="003725E8">
        <w:rPr>
          <w:rFonts w:cstheme="minorHAnsi"/>
          <w:sz w:val="24"/>
          <w:szCs w:val="24"/>
        </w:rPr>
        <w:t xml:space="preserve">ommunication, </w:t>
      </w:r>
      <w:r w:rsidRPr="003725E8">
        <w:rPr>
          <w:rFonts w:cstheme="minorHAnsi"/>
          <w:b/>
          <w:sz w:val="24"/>
          <w:szCs w:val="24"/>
        </w:rPr>
        <w:t>R</w:t>
      </w:r>
      <w:r w:rsidRPr="003725E8">
        <w:rPr>
          <w:rFonts w:cstheme="minorHAnsi"/>
          <w:sz w:val="24"/>
          <w:szCs w:val="24"/>
        </w:rPr>
        <w:t xml:space="preserve">espect, </w:t>
      </w:r>
      <w:r w:rsidRPr="003725E8">
        <w:rPr>
          <w:rFonts w:cstheme="minorHAnsi"/>
          <w:b/>
          <w:sz w:val="24"/>
          <w:szCs w:val="24"/>
        </w:rPr>
        <w:t>E</w:t>
      </w:r>
      <w:r w:rsidRPr="003725E8">
        <w:rPr>
          <w:rFonts w:cstheme="minorHAnsi"/>
          <w:sz w:val="24"/>
          <w:szCs w:val="24"/>
        </w:rPr>
        <w:t xml:space="preserve">xpertise, </w:t>
      </w:r>
      <w:r w:rsidRPr="003725E8">
        <w:rPr>
          <w:rFonts w:cstheme="minorHAnsi"/>
          <w:b/>
          <w:sz w:val="24"/>
          <w:szCs w:val="24"/>
        </w:rPr>
        <w:t>A</w:t>
      </w:r>
      <w:r w:rsidRPr="003725E8">
        <w:rPr>
          <w:rFonts w:cstheme="minorHAnsi"/>
          <w:sz w:val="24"/>
          <w:szCs w:val="24"/>
        </w:rPr>
        <w:t xml:space="preserve">ccountability, </w:t>
      </w:r>
      <w:r w:rsidRPr="003725E8">
        <w:rPr>
          <w:rFonts w:cstheme="minorHAnsi"/>
          <w:b/>
          <w:sz w:val="24"/>
          <w:szCs w:val="24"/>
        </w:rPr>
        <w:t>T</w:t>
      </w:r>
      <w:r w:rsidRPr="003725E8">
        <w:rPr>
          <w:rFonts w:cstheme="minorHAnsi"/>
          <w:sz w:val="24"/>
          <w:szCs w:val="24"/>
        </w:rPr>
        <w:t xml:space="preserve">rust, </w:t>
      </w:r>
      <w:r w:rsidRPr="003725E8">
        <w:rPr>
          <w:rFonts w:cstheme="minorHAnsi"/>
          <w:b/>
          <w:sz w:val="24"/>
          <w:szCs w:val="24"/>
        </w:rPr>
        <w:t>I</w:t>
      </w:r>
      <w:r w:rsidRPr="003725E8">
        <w:rPr>
          <w:rFonts w:cstheme="minorHAnsi"/>
          <w:sz w:val="24"/>
          <w:szCs w:val="24"/>
        </w:rPr>
        <w:t>nnovation, I</w:t>
      </w:r>
      <w:r w:rsidRPr="003725E8">
        <w:rPr>
          <w:rFonts w:cstheme="minorHAnsi"/>
          <w:b/>
          <w:sz w:val="24"/>
          <w:szCs w:val="24"/>
        </w:rPr>
        <w:t>n</w:t>
      </w:r>
      <w:r w:rsidRPr="003725E8">
        <w:rPr>
          <w:rFonts w:cstheme="minorHAnsi"/>
          <w:sz w:val="24"/>
          <w:szCs w:val="24"/>
        </w:rPr>
        <w:t xml:space="preserve">clusion &amp; </w:t>
      </w:r>
      <w:r w:rsidRPr="003725E8">
        <w:rPr>
          <w:rFonts w:cstheme="minorHAnsi"/>
          <w:b/>
          <w:sz w:val="24"/>
          <w:szCs w:val="24"/>
        </w:rPr>
        <w:t>G</w:t>
      </w:r>
      <w:r w:rsidRPr="003725E8">
        <w:rPr>
          <w:rFonts w:cstheme="minorHAnsi"/>
          <w:sz w:val="24"/>
          <w:szCs w:val="24"/>
        </w:rPr>
        <w:t>rowth, will guide our behaviors</w:t>
      </w:r>
      <w:r>
        <w:rPr>
          <w:rFonts w:cstheme="minorHAnsi"/>
          <w:sz w:val="24"/>
          <w:szCs w:val="24"/>
        </w:rPr>
        <w:t>,</w:t>
      </w:r>
      <w:r w:rsidRPr="003725E8">
        <w:rPr>
          <w:rFonts w:cstheme="minorHAnsi"/>
          <w:sz w:val="24"/>
          <w:szCs w:val="24"/>
        </w:rPr>
        <w:t xml:space="preserve"> ensuring a consistent focus on quality and progress toward our vision. Ideal candidates will be passionate about our mission and exhibit our core values with a commitment to continuous improvement and growth.</w:t>
      </w:r>
    </w:p>
    <w:p w14:paraId="4742EA35" w14:textId="77777777" w:rsidR="001B6088" w:rsidRPr="003725E8" w:rsidRDefault="001B6088" w:rsidP="001B6088">
      <w:pPr>
        <w:pStyle w:val="BodyText"/>
        <w:spacing w:before="159" w:line="252" w:lineRule="auto"/>
        <w:ind w:left="100" w:right="157" w:firstLine="0"/>
        <w:jc w:val="both"/>
        <w:rPr>
          <w:rFonts w:asciiTheme="minorHAnsi" w:hAnsiTheme="minorHAnsi" w:cstheme="minorHAnsi"/>
          <w:sz w:val="24"/>
          <w:szCs w:val="24"/>
        </w:rPr>
      </w:pPr>
      <w:r w:rsidRPr="003725E8">
        <w:rPr>
          <w:rFonts w:asciiTheme="minorHAnsi" w:hAnsiTheme="minorHAnsi" w:cstheme="minorHAnsi"/>
          <w:sz w:val="24"/>
          <w:szCs w:val="24"/>
        </w:rPr>
        <w:t xml:space="preserve">OCCH is an equal opportunity employer. Equal employment </w:t>
      </w:r>
      <w:proofErr w:type="gramStart"/>
      <w:r w:rsidRPr="003725E8">
        <w:rPr>
          <w:rFonts w:asciiTheme="minorHAnsi" w:hAnsiTheme="minorHAnsi" w:cstheme="minorHAnsi"/>
          <w:sz w:val="24"/>
          <w:szCs w:val="24"/>
        </w:rPr>
        <w:t>opportunity is</w:t>
      </w:r>
      <w:proofErr w:type="gramEnd"/>
      <w:r w:rsidRPr="003725E8">
        <w:rPr>
          <w:rFonts w:asciiTheme="minorHAnsi" w:hAnsiTheme="minorHAnsi" w:cstheme="minorHAnsi"/>
          <w:sz w:val="24"/>
          <w:szCs w:val="24"/>
        </w:rPr>
        <w:t xml:space="preserve"> not only good practice - it is the law and applies to all areas of employment, including recruitment, selection, hiring, training, transfer, promotion and demotion, termination, compensation, and benefits. As an equal opportunity employer, OCCH prohibits unlawful discrimination based on race, religion, creed, color, national origin or ancestry, sex, age, marital status,</w:t>
      </w:r>
      <w:r w:rsidRPr="003725E8">
        <w:rPr>
          <w:rFonts w:asciiTheme="minorHAnsi" w:hAnsiTheme="minorHAnsi" w:cstheme="minorHAnsi"/>
          <w:spacing w:val="-5"/>
          <w:sz w:val="24"/>
          <w:szCs w:val="24"/>
        </w:rPr>
        <w:t xml:space="preserve"> </w:t>
      </w:r>
      <w:r w:rsidRPr="003725E8">
        <w:rPr>
          <w:rFonts w:asciiTheme="minorHAnsi" w:hAnsiTheme="minorHAnsi" w:cstheme="minorHAnsi"/>
          <w:sz w:val="24"/>
          <w:szCs w:val="24"/>
        </w:rPr>
        <w:t>sexual</w:t>
      </w:r>
      <w:r w:rsidRPr="003725E8">
        <w:rPr>
          <w:rFonts w:asciiTheme="minorHAnsi" w:hAnsiTheme="minorHAnsi" w:cstheme="minorHAnsi"/>
          <w:spacing w:val="-3"/>
          <w:sz w:val="24"/>
          <w:szCs w:val="24"/>
        </w:rPr>
        <w:t xml:space="preserve"> </w:t>
      </w:r>
      <w:r w:rsidRPr="003725E8">
        <w:rPr>
          <w:rFonts w:asciiTheme="minorHAnsi" w:hAnsiTheme="minorHAnsi" w:cstheme="minorHAnsi"/>
          <w:sz w:val="24"/>
          <w:szCs w:val="24"/>
        </w:rPr>
        <w:t>orientation,</w:t>
      </w:r>
      <w:r w:rsidRPr="003725E8">
        <w:rPr>
          <w:rFonts w:asciiTheme="minorHAnsi" w:hAnsiTheme="minorHAnsi" w:cstheme="minorHAnsi"/>
          <w:spacing w:val="-5"/>
          <w:sz w:val="24"/>
          <w:szCs w:val="24"/>
        </w:rPr>
        <w:t xml:space="preserve"> </w:t>
      </w:r>
      <w:r w:rsidRPr="003725E8">
        <w:rPr>
          <w:rFonts w:asciiTheme="minorHAnsi" w:hAnsiTheme="minorHAnsi" w:cstheme="minorHAnsi"/>
          <w:sz w:val="24"/>
          <w:szCs w:val="24"/>
        </w:rPr>
        <w:t>gender,</w:t>
      </w:r>
      <w:r w:rsidRPr="003725E8">
        <w:rPr>
          <w:rFonts w:asciiTheme="minorHAnsi" w:hAnsiTheme="minorHAnsi" w:cstheme="minorHAnsi"/>
          <w:spacing w:val="-5"/>
          <w:sz w:val="24"/>
          <w:szCs w:val="24"/>
        </w:rPr>
        <w:t xml:space="preserve"> </w:t>
      </w:r>
      <w:r w:rsidRPr="003725E8">
        <w:rPr>
          <w:rFonts w:asciiTheme="minorHAnsi" w:hAnsiTheme="minorHAnsi" w:cstheme="minorHAnsi"/>
          <w:sz w:val="24"/>
          <w:szCs w:val="24"/>
        </w:rPr>
        <w:t>gender</w:t>
      </w:r>
      <w:r w:rsidRPr="003725E8">
        <w:rPr>
          <w:rFonts w:asciiTheme="minorHAnsi" w:hAnsiTheme="minorHAnsi" w:cstheme="minorHAnsi"/>
          <w:spacing w:val="-2"/>
          <w:sz w:val="24"/>
          <w:szCs w:val="24"/>
        </w:rPr>
        <w:t xml:space="preserve"> </w:t>
      </w:r>
      <w:r w:rsidRPr="003725E8">
        <w:rPr>
          <w:rFonts w:asciiTheme="minorHAnsi" w:hAnsiTheme="minorHAnsi" w:cstheme="minorHAnsi"/>
          <w:sz w:val="24"/>
          <w:szCs w:val="24"/>
        </w:rPr>
        <w:t>identity,</w:t>
      </w:r>
      <w:r w:rsidRPr="003725E8">
        <w:rPr>
          <w:rFonts w:asciiTheme="minorHAnsi" w:hAnsiTheme="minorHAnsi" w:cstheme="minorHAnsi"/>
          <w:spacing w:val="-5"/>
          <w:sz w:val="24"/>
          <w:szCs w:val="24"/>
        </w:rPr>
        <w:t xml:space="preserve"> </w:t>
      </w:r>
      <w:r w:rsidRPr="003725E8">
        <w:rPr>
          <w:rFonts w:asciiTheme="minorHAnsi" w:hAnsiTheme="minorHAnsi" w:cstheme="minorHAnsi"/>
          <w:sz w:val="24"/>
          <w:szCs w:val="24"/>
        </w:rPr>
        <w:t>gender</w:t>
      </w:r>
      <w:r w:rsidRPr="003725E8">
        <w:rPr>
          <w:rFonts w:asciiTheme="minorHAnsi" w:hAnsiTheme="minorHAnsi" w:cstheme="minorHAnsi"/>
          <w:spacing w:val="-7"/>
          <w:sz w:val="24"/>
          <w:szCs w:val="24"/>
        </w:rPr>
        <w:t xml:space="preserve"> </w:t>
      </w:r>
      <w:r w:rsidRPr="003725E8">
        <w:rPr>
          <w:rFonts w:asciiTheme="minorHAnsi" w:hAnsiTheme="minorHAnsi" w:cstheme="minorHAnsi"/>
          <w:sz w:val="24"/>
          <w:szCs w:val="24"/>
        </w:rPr>
        <w:t>expression,</w:t>
      </w:r>
      <w:r w:rsidRPr="003725E8">
        <w:rPr>
          <w:rFonts w:asciiTheme="minorHAnsi" w:hAnsiTheme="minorHAnsi" w:cstheme="minorHAnsi"/>
          <w:spacing w:val="-5"/>
          <w:sz w:val="24"/>
          <w:szCs w:val="24"/>
        </w:rPr>
        <w:t xml:space="preserve"> </w:t>
      </w:r>
      <w:r w:rsidRPr="003725E8">
        <w:rPr>
          <w:rFonts w:asciiTheme="minorHAnsi" w:hAnsiTheme="minorHAnsi" w:cstheme="minorHAnsi"/>
          <w:sz w:val="24"/>
          <w:szCs w:val="24"/>
        </w:rPr>
        <w:t>genetic</w:t>
      </w:r>
      <w:r w:rsidRPr="003725E8">
        <w:rPr>
          <w:rFonts w:asciiTheme="minorHAnsi" w:hAnsiTheme="minorHAnsi" w:cstheme="minorHAnsi"/>
          <w:spacing w:val="-4"/>
          <w:sz w:val="24"/>
          <w:szCs w:val="24"/>
        </w:rPr>
        <w:t xml:space="preserve"> </w:t>
      </w:r>
      <w:r w:rsidRPr="003725E8">
        <w:rPr>
          <w:rFonts w:asciiTheme="minorHAnsi" w:hAnsiTheme="minorHAnsi" w:cstheme="minorHAnsi"/>
          <w:sz w:val="24"/>
          <w:szCs w:val="24"/>
        </w:rPr>
        <w:t>expression,</w:t>
      </w:r>
      <w:r w:rsidRPr="003725E8">
        <w:rPr>
          <w:rFonts w:asciiTheme="minorHAnsi" w:hAnsiTheme="minorHAnsi" w:cstheme="minorHAnsi"/>
          <w:spacing w:val="-5"/>
          <w:sz w:val="24"/>
          <w:szCs w:val="24"/>
        </w:rPr>
        <w:t xml:space="preserve"> </w:t>
      </w:r>
      <w:r w:rsidRPr="003725E8">
        <w:rPr>
          <w:rFonts w:asciiTheme="minorHAnsi" w:hAnsiTheme="minorHAnsi" w:cstheme="minorHAnsi"/>
          <w:sz w:val="24"/>
          <w:szCs w:val="24"/>
        </w:rPr>
        <w:t>disability,</w:t>
      </w:r>
      <w:r w:rsidRPr="003725E8">
        <w:rPr>
          <w:rFonts w:asciiTheme="minorHAnsi" w:hAnsiTheme="minorHAnsi" w:cstheme="minorHAnsi"/>
          <w:spacing w:val="-5"/>
          <w:sz w:val="24"/>
          <w:szCs w:val="24"/>
        </w:rPr>
        <w:t xml:space="preserve"> </w:t>
      </w:r>
      <w:r w:rsidRPr="003725E8">
        <w:rPr>
          <w:rFonts w:asciiTheme="minorHAnsi" w:hAnsiTheme="minorHAnsi" w:cstheme="minorHAnsi"/>
          <w:sz w:val="24"/>
          <w:szCs w:val="24"/>
        </w:rPr>
        <w:t>veteran</w:t>
      </w:r>
      <w:r w:rsidRPr="003725E8">
        <w:rPr>
          <w:rFonts w:asciiTheme="minorHAnsi" w:hAnsiTheme="minorHAnsi" w:cstheme="minorHAnsi"/>
          <w:spacing w:val="-1"/>
          <w:sz w:val="24"/>
          <w:szCs w:val="24"/>
        </w:rPr>
        <w:t xml:space="preserve"> </w:t>
      </w:r>
      <w:r w:rsidRPr="003725E8">
        <w:rPr>
          <w:rFonts w:asciiTheme="minorHAnsi" w:hAnsiTheme="minorHAnsi" w:cstheme="minorHAnsi"/>
          <w:sz w:val="24"/>
          <w:szCs w:val="24"/>
        </w:rPr>
        <w:t>or military</w:t>
      </w:r>
      <w:r w:rsidRPr="003725E8">
        <w:rPr>
          <w:rFonts w:asciiTheme="minorHAnsi" w:hAnsiTheme="minorHAnsi" w:cstheme="minorHAnsi"/>
          <w:spacing w:val="-3"/>
          <w:sz w:val="24"/>
          <w:szCs w:val="24"/>
        </w:rPr>
        <w:t xml:space="preserve"> </w:t>
      </w:r>
      <w:r w:rsidRPr="003725E8">
        <w:rPr>
          <w:rFonts w:asciiTheme="minorHAnsi" w:hAnsiTheme="minorHAnsi" w:cstheme="minorHAnsi"/>
          <w:sz w:val="24"/>
          <w:szCs w:val="24"/>
        </w:rPr>
        <w:t>status,</w:t>
      </w:r>
      <w:r w:rsidRPr="003725E8">
        <w:rPr>
          <w:rFonts w:asciiTheme="minorHAnsi" w:hAnsiTheme="minorHAnsi" w:cstheme="minorHAnsi"/>
          <w:spacing w:val="-3"/>
          <w:sz w:val="24"/>
          <w:szCs w:val="24"/>
        </w:rPr>
        <w:t xml:space="preserve"> </w:t>
      </w:r>
      <w:r w:rsidRPr="003725E8">
        <w:rPr>
          <w:rFonts w:asciiTheme="minorHAnsi" w:hAnsiTheme="minorHAnsi" w:cstheme="minorHAnsi"/>
          <w:sz w:val="24"/>
          <w:szCs w:val="24"/>
        </w:rPr>
        <w:t>or</w:t>
      </w:r>
      <w:r w:rsidRPr="003725E8">
        <w:rPr>
          <w:rFonts w:asciiTheme="minorHAnsi" w:hAnsiTheme="minorHAnsi" w:cstheme="minorHAnsi"/>
          <w:spacing w:val="-6"/>
          <w:sz w:val="24"/>
          <w:szCs w:val="24"/>
        </w:rPr>
        <w:t xml:space="preserve"> </w:t>
      </w:r>
      <w:r w:rsidRPr="003725E8">
        <w:rPr>
          <w:rFonts w:asciiTheme="minorHAnsi" w:hAnsiTheme="minorHAnsi" w:cstheme="minorHAnsi"/>
          <w:sz w:val="24"/>
          <w:szCs w:val="24"/>
        </w:rPr>
        <w:t>any</w:t>
      </w:r>
      <w:r w:rsidRPr="003725E8">
        <w:rPr>
          <w:rFonts w:asciiTheme="minorHAnsi" w:hAnsiTheme="minorHAnsi" w:cstheme="minorHAnsi"/>
          <w:spacing w:val="-7"/>
          <w:sz w:val="24"/>
          <w:szCs w:val="24"/>
        </w:rPr>
        <w:t xml:space="preserve"> </w:t>
      </w:r>
      <w:r w:rsidRPr="003725E8">
        <w:rPr>
          <w:rFonts w:asciiTheme="minorHAnsi" w:hAnsiTheme="minorHAnsi" w:cstheme="minorHAnsi"/>
          <w:sz w:val="24"/>
          <w:szCs w:val="24"/>
        </w:rPr>
        <w:t>other</w:t>
      </w:r>
      <w:r w:rsidRPr="003725E8">
        <w:rPr>
          <w:rFonts w:asciiTheme="minorHAnsi" w:hAnsiTheme="minorHAnsi" w:cstheme="minorHAnsi"/>
          <w:spacing w:val="-1"/>
          <w:sz w:val="24"/>
          <w:szCs w:val="24"/>
        </w:rPr>
        <w:t xml:space="preserve"> </w:t>
      </w:r>
      <w:r w:rsidRPr="003725E8">
        <w:rPr>
          <w:rFonts w:asciiTheme="minorHAnsi" w:hAnsiTheme="minorHAnsi" w:cstheme="minorHAnsi"/>
          <w:sz w:val="24"/>
          <w:szCs w:val="24"/>
        </w:rPr>
        <w:t>basis</w:t>
      </w:r>
      <w:r w:rsidRPr="003725E8">
        <w:rPr>
          <w:rFonts w:asciiTheme="minorHAnsi" w:hAnsiTheme="minorHAnsi" w:cstheme="minorHAnsi"/>
          <w:spacing w:val="-2"/>
          <w:sz w:val="24"/>
          <w:szCs w:val="24"/>
        </w:rPr>
        <w:t xml:space="preserve"> </w:t>
      </w:r>
      <w:r w:rsidRPr="003725E8">
        <w:rPr>
          <w:rFonts w:asciiTheme="minorHAnsi" w:hAnsiTheme="minorHAnsi" w:cstheme="minorHAnsi"/>
          <w:sz w:val="24"/>
          <w:szCs w:val="24"/>
        </w:rPr>
        <w:t>that</w:t>
      </w:r>
      <w:r w:rsidRPr="003725E8">
        <w:rPr>
          <w:rFonts w:asciiTheme="minorHAnsi" w:hAnsiTheme="minorHAnsi" w:cstheme="minorHAnsi"/>
          <w:spacing w:val="-4"/>
          <w:sz w:val="24"/>
          <w:szCs w:val="24"/>
        </w:rPr>
        <w:t xml:space="preserve"> </w:t>
      </w:r>
      <w:r w:rsidRPr="003725E8">
        <w:rPr>
          <w:rFonts w:asciiTheme="minorHAnsi" w:hAnsiTheme="minorHAnsi" w:cstheme="minorHAnsi"/>
          <w:sz w:val="24"/>
          <w:szCs w:val="24"/>
        </w:rPr>
        <w:t>would</w:t>
      </w:r>
      <w:r w:rsidRPr="003725E8">
        <w:rPr>
          <w:rFonts w:asciiTheme="minorHAnsi" w:hAnsiTheme="minorHAnsi" w:cstheme="minorHAnsi"/>
          <w:spacing w:val="1"/>
          <w:sz w:val="24"/>
          <w:szCs w:val="24"/>
        </w:rPr>
        <w:t xml:space="preserve"> </w:t>
      </w:r>
      <w:r w:rsidRPr="003725E8">
        <w:rPr>
          <w:rFonts w:asciiTheme="minorHAnsi" w:hAnsiTheme="minorHAnsi" w:cstheme="minorHAnsi"/>
          <w:sz w:val="24"/>
          <w:szCs w:val="24"/>
        </w:rPr>
        <w:t>be in</w:t>
      </w:r>
      <w:r w:rsidRPr="003725E8">
        <w:rPr>
          <w:rFonts w:asciiTheme="minorHAnsi" w:hAnsiTheme="minorHAnsi" w:cstheme="minorHAnsi"/>
          <w:spacing w:val="1"/>
          <w:sz w:val="24"/>
          <w:szCs w:val="24"/>
        </w:rPr>
        <w:t xml:space="preserve"> </w:t>
      </w:r>
      <w:r w:rsidRPr="003725E8">
        <w:rPr>
          <w:rFonts w:asciiTheme="minorHAnsi" w:hAnsiTheme="minorHAnsi" w:cstheme="minorHAnsi"/>
          <w:sz w:val="24"/>
          <w:szCs w:val="24"/>
        </w:rPr>
        <w:t>violation</w:t>
      </w:r>
      <w:r w:rsidRPr="003725E8">
        <w:rPr>
          <w:rFonts w:asciiTheme="minorHAnsi" w:hAnsiTheme="minorHAnsi" w:cstheme="minorHAnsi"/>
          <w:spacing w:val="-5"/>
          <w:sz w:val="24"/>
          <w:szCs w:val="24"/>
        </w:rPr>
        <w:t xml:space="preserve"> </w:t>
      </w:r>
      <w:r w:rsidRPr="003725E8">
        <w:rPr>
          <w:rFonts w:asciiTheme="minorHAnsi" w:hAnsiTheme="minorHAnsi" w:cstheme="minorHAnsi"/>
          <w:sz w:val="24"/>
          <w:szCs w:val="24"/>
        </w:rPr>
        <w:t>of</w:t>
      </w:r>
      <w:r w:rsidRPr="003725E8">
        <w:rPr>
          <w:rFonts w:asciiTheme="minorHAnsi" w:hAnsiTheme="minorHAnsi" w:cstheme="minorHAnsi"/>
          <w:spacing w:val="-3"/>
          <w:sz w:val="24"/>
          <w:szCs w:val="24"/>
        </w:rPr>
        <w:t xml:space="preserve"> </w:t>
      </w:r>
      <w:r w:rsidRPr="003725E8">
        <w:rPr>
          <w:rFonts w:asciiTheme="minorHAnsi" w:hAnsiTheme="minorHAnsi" w:cstheme="minorHAnsi"/>
          <w:sz w:val="24"/>
          <w:szCs w:val="24"/>
        </w:rPr>
        <w:t>any</w:t>
      </w:r>
      <w:r w:rsidRPr="003725E8">
        <w:rPr>
          <w:rFonts w:asciiTheme="minorHAnsi" w:hAnsiTheme="minorHAnsi" w:cstheme="minorHAnsi"/>
          <w:spacing w:val="-7"/>
          <w:sz w:val="24"/>
          <w:szCs w:val="24"/>
        </w:rPr>
        <w:t xml:space="preserve"> </w:t>
      </w:r>
      <w:r w:rsidRPr="003725E8">
        <w:rPr>
          <w:rFonts w:asciiTheme="minorHAnsi" w:hAnsiTheme="minorHAnsi" w:cstheme="minorHAnsi"/>
          <w:sz w:val="24"/>
          <w:szCs w:val="24"/>
        </w:rPr>
        <w:t>applicable federal,</w:t>
      </w:r>
      <w:r w:rsidRPr="003725E8">
        <w:rPr>
          <w:rFonts w:asciiTheme="minorHAnsi" w:hAnsiTheme="minorHAnsi" w:cstheme="minorHAnsi"/>
          <w:spacing w:val="-3"/>
          <w:sz w:val="24"/>
          <w:szCs w:val="24"/>
        </w:rPr>
        <w:t xml:space="preserve"> </w:t>
      </w:r>
      <w:r w:rsidRPr="003725E8">
        <w:rPr>
          <w:rFonts w:asciiTheme="minorHAnsi" w:hAnsiTheme="minorHAnsi" w:cstheme="minorHAnsi"/>
          <w:sz w:val="24"/>
          <w:szCs w:val="24"/>
        </w:rPr>
        <w:t>state</w:t>
      </w:r>
      <w:r w:rsidRPr="003725E8">
        <w:rPr>
          <w:rFonts w:asciiTheme="minorHAnsi" w:hAnsiTheme="minorHAnsi" w:cstheme="minorHAnsi"/>
          <w:spacing w:val="-5"/>
          <w:sz w:val="24"/>
          <w:szCs w:val="24"/>
        </w:rPr>
        <w:t xml:space="preserve"> </w:t>
      </w:r>
      <w:r w:rsidRPr="003725E8">
        <w:rPr>
          <w:rFonts w:asciiTheme="minorHAnsi" w:hAnsiTheme="minorHAnsi" w:cstheme="minorHAnsi"/>
          <w:sz w:val="24"/>
          <w:szCs w:val="24"/>
        </w:rPr>
        <w:t>or local</w:t>
      </w:r>
      <w:r w:rsidRPr="003725E8">
        <w:rPr>
          <w:rFonts w:asciiTheme="minorHAnsi" w:hAnsiTheme="minorHAnsi" w:cstheme="minorHAnsi"/>
          <w:spacing w:val="-2"/>
          <w:sz w:val="24"/>
          <w:szCs w:val="24"/>
        </w:rPr>
        <w:t xml:space="preserve"> </w:t>
      </w:r>
      <w:r w:rsidRPr="003725E8">
        <w:rPr>
          <w:rFonts w:asciiTheme="minorHAnsi" w:hAnsiTheme="minorHAnsi" w:cstheme="minorHAnsi"/>
          <w:sz w:val="24"/>
          <w:szCs w:val="24"/>
        </w:rPr>
        <w:t>law.</w:t>
      </w:r>
    </w:p>
    <w:p w14:paraId="3EE7E652" w14:textId="1B0F9920" w:rsidR="00015442" w:rsidRPr="00015442" w:rsidRDefault="00015442" w:rsidP="001B6088">
      <w:pPr>
        <w:rPr>
          <w:sz w:val="24"/>
          <w:szCs w:val="24"/>
        </w:rPr>
      </w:pPr>
    </w:p>
    <w:sectPr w:rsidR="00015442" w:rsidRPr="00015442" w:rsidSect="00203C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5730C"/>
    <w:multiLevelType w:val="hybridMultilevel"/>
    <w:tmpl w:val="B2CE3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1572D02"/>
    <w:multiLevelType w:val="multilevel"/>
    <w:tmpl w:val="E2C4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B67201"/>
    <w:multiLevelType w:val="hybridMultilevel"/>
    <w:tmpl w:val="A4200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3411B4"/>
    <w:multiLevelType w:val="hybridMultilevel"/>
    <w:tmpl w:val="CC42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9F2323"/>
    <w:multiLevelType w:val="hybridMultilevel"/>
    <w:tmpl w:val="7960B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945795"/>
    <w:multiLevelType w:val="hybridMultilevel"/>
    <w:tmpl w:val="9312C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462347">
    <w:abstractNumId w:val="0"/>
  </w:num>
  <w:num w:numId="2" w16cid:durableId="1635600841">
    <w:abstractNumId w:val="2"/>
  </w:num>
  <w:num w:numId="3" w16cid:durableId="1859191997">
    <w:abstractNumId w:val="5"/>
  </w:num>
  <w:num w:numId="4" w16cid:durableId="392001372">
    <w:abstractNumId w:val="3"/>
  </w:num>
  <w:num w:numId="5" w16cid:durableId="422805029">
    <w:abstractNumId w:val="1"/>
  </w:num>
  <w:num w:numId="6" w16cid:durableId="937369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D"/>
    <w:rsid w:val="00015442"/>
    <w:rsid w:val="00037C52"/>
    <w:rsid w:val="00074D73"/>
    <w:rsid w:val="00123D0C"/>
    <w:rsid w:val="00124ED3"/>
    <w:rsid w:val="001655DC"/>
    <w:rsid w:val="001B3C63"/>
    <w:rsid w:val="001B6088"/>
    <w:rsid w:val="001E2E0F"/>
    <w:rsid w:val="00203C1D"/>
    <w:rsid w:val="00205F7F"/>
    <w:rsid w:val="002073B9"/>
    <w:rsid w:val="002428F9"/>
    <w:rsid w:val="00294C40"/>
    <w:rsid w:val="002B5141"/>
    <w:rsid w:val="002C00A5"/>
    <w:rsid w:val="002E5694"/>
    <w:rsid w:val="003B6959"/>
    <w:rsid w:val="003D4107"/>
    <w:rsid w:val="0040094F"/>
    <w:rsid w:val="00412748"/>
    <w:rsid w:val="004463E3"/>
    <w:rsid w:val="00475068"/>
    <w:rsid w:val="004932E6"/>
    <w:rsid w:val="004A4FD0"/>
    <w:rsid w:val="004C04C7"/>
    <w:rsid w:val="004E79B7"/>
    <w:rsid w:val="005223C1"/>
    <w:rsid w:val="00525904"/>
    <w:rsid w:val="0052740B"/>
    <w:rsid w:val="005D6021"/>
    <w:rsid w:val="00616F8B"/>
    <w:rsid w:val="0062094E"/>
    <w:rsid w:val="00635994"/>
    <w:rsid w:val="00666EC9"/>
    <w:rsid w:val="006D542F"/>
    <w:rsid w:val="00740568"/>
    <w:rsid w:val="00794636"/>
    <w:rsid w:val="007A604B"/>
    <w:rsid w:val="007D6665"/>
    <w:rsid w:val="00816C97"/>
    <w:rsid w:val="00854B81"/>
    <w:rsid w:val="00892FE8"/>
    <w:rsid w:val="008B681F"/>
    <w:rsid w:val="008F0DEE"/>
    <w:rsid w:val="00900EB9"/>
    <w:rsid w:val="00B57A11"/>
    <w:rsid w:val="00B63FC8"/>
    <w:rsid w:val="00B70035"/>
    <w:rsid w:val="00B83D06"/>
    <w:rsid w:val="00C35240"/>
    <w:rsid w:val="00C635D4"/>
    <w:rsid w:val="00C67800"/>
    <w:rsid w:val="00D64D0A"/>
    <w:rsid w:val="00D93ED2"/>
    <w:rsid w:val="00D965FA"/>
    <w:rsid w:val="00DB784A"/>
    <w:rsid w:val="00DC1EA2"/>
    <w:rsid w:val="00DD564B"/>
    <w:rsid w:val="00DF323A"/>
    <w:rsid w:val="00EB1CEB"/>
    <w:rsid w:val="00F10067"/>
    <w:rsid w:val="00F33648"/>
    <w:rsid w:val="00F5460F"/>
    <w:rsid w:val="00F82CB8"/>
    <w:rsid w:val="00FB6581"/>
    <w:rsid w:val="00FD673E"/>
    <w:rsid w:val="00FE1A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EF7C"/>
  <w15:chartTrackingRefBased/>
  <w15:docId w15:val="{EE5CE71F-6EFE-4F60-B46B-BE1B1E5F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3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5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442"/>
    <w:rPr>
      <w:rFonts w:ascii="Segoe UI" w:hAnsi="Segoe UI" w:cs="Segoe UI"/>
      <w:sz w:val="18"/>
      <w:szCs w:val="18"/>
    </w:rPr>
  </w:style>
  <w:style w:type="paragraph" w:styleId="ListParagraph">
    <w:name w:val="List Paragraph"/>
    <w:basedOn w:val="Normal"/>
    <w:uiPriority w:val="34"/>
    <w:qFormat/>
    <w:rsid w:val="00B83D06"/>
    <w:pPr>
      <w:ind w:left="720"/>
      <w:contextualSpacing/>
    </w:pPr>
  </w:style>
  <w:style w:type="paragraph" w:styleId="BodyText">
    <w:name w:val="Body Text"/>
    <w:basedOn w:val="Normal"/>
    <w:link w:val="BodyTextChar"/>
    <w:uiPriority w:val="1"/>
    <w:qFormat/>
    <w:rsid w:val="001B6088"/>
    <w:pPr>
      <w:widowControl w:val="0"/>
      <w:autoSpaceDE w:val="0"/>
      <w:autoSpaceDN w:val="0"/>
      <w:spacing w:after="0" w:line="240" w:lineRule="auto"/>
      <w:ind w:left="575" w:hanging="361"/>
    </w:pPr>
    <w:rPr>
      <w:rFonts w:ascii="Arial" w:eastAsia="Arial" w:hAnsi="Arial" w:cs="Arial"/>
      <w:lang w:bidi="en-US"/>
    </w:rPr>
  </w:style>
  <w:style w:type="character" w:customStyle="1" w:styleId="BodyTextChar">
    <w:name w:val="Body Text Char"/>
    <w:basedOn w:val="DefaultParagraphFont"/>
    <w:link w:val="BodyText"/>
    <w:uiPriority w:val="1"/>
    <w:rsid w:val="001B6088"/>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F00CD2F0DDC14BB6FC988836597E6E" ma:contentTypeVersion="18" ma:contentTypeDescription="Create a new document." ma:contentTypeScope="" ma:versionID="f9011164914565d88170f53c075dcb92">
  <xsd:schema xmlns:xsd="http://www.w3.org/2001/XMLSchema" xmlns:xs="http://www.w3.org/2001/XMLSchema" xmlns:p="http://schemas.microsoft.com/office/2006/metadata/properties" xmlns:ns2="aba67fbe-974c-4316-b9a2-38c9a731baec" xmlns:ns3="1085aa8d-b5ed-4c1a-83a0-5958e3f61da1" targetNamespace="http://schemas.microsoft.com/office/2006/metadata/properties" ma:root="true" ma:fieldsID="06be7317201dcbac2790a022a3ed3d0d" ns2:_="" ns3:_="">
    <xsd:import namespace="aba67fbe-974c-4316-b9a2-38c9a731baec"/>
    <xsd:import namespace="1085aa8d-b5ed-4c1a-83a0-5958e3f61d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67fbe-974c-4316-b9a2-38c9a731b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02b6c5-3c43-44ee-8a6f-23ebb8ebe6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85aa8d-b5ed-4c1a-83a0-5958e3f61da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cf5403-b37d-493b-a7b0-b27101e36993}" ma:internalName="TaxCatchAll" ma:showField="CatchAllData" ma:web="1085aa8d-b5ed-4c1a-83a0-5958e3f61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a67fbe-974c-4316-b9a2-38c9a731baec">
      <Terms xmlns="http://schemas.microsoft.com/office/infopath/2007/PartnerControls"/>
    </lcf76f155ced4ddcb4097134ff3c332f>
    <TaxCatchAll xmlns="1085aa8d-b5ed-4c1a-83a0-5958e3f61da1" xsi:nil="true"/>
  </documentManagement>
</p:properties>
</file>

<file path=customXml/itemProps1.xml><?xml version="1.0" encoding="utf-8"?>
<ds:datastoreItem xmlns:ds="http://schemas.openxmlformats.org/officeDocument/2006/customXml" ds:itemID="{9EAB2B74-B49E-4033-8AE5-ADBAC2751BAC}">
  <ds:schemaRefs>
    <ds:schemaRef ds:uri="http://schemas.microsoft.com/sharepoint/v3/contenttype/forms"/>
  </ds:schemaRefs>
</ds:datastoreItem>
</file>

<file path=customXml/itemProps2.xml><?xml version="1.0" encoding="utf-8"?>
<ds:datastoreItem xmlns:ds="http://schemas.openxmlformats.org/officeDocument/2006/customXml" ds:itemID="{A2418BA0-9D75-42F4-A038-6F8B115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67fbe-974c-4316-b9a2-38c9a731baec"/>
    <ds:schemaRef ds:uri="1085aa8d-b5ed-4c1a-83a0-5958e3f61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914F2-E71A-4905-B18F-6312144DE0AA}">
  <ds:schemaRefs>
    <ds:schemaRef ds:uri="http://schemas.microsoft.com/office/2006/metadata/properties"/>
    <ds:schemaRef ds:uri="http://schemas.microsoft.com/office/infopath/2007/PartnerControls"/>
    <ds:schemaRef ds:uri="aba67fbe-974c-4316-b9a2-38c9a731baec"/>
    <ds:schemaRef ds:uri="1085aa8d-b5ed-4c1a-83a0-5958e3f61da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636</Words>
  <Characters>3627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Ohio Capital Corporation for Housing</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Tallman</dc:creator>
  <cp:keywords/>
  <dc:description/>
  <cp:lastModifiedBy>Joyce Perry</cp:lastModifiedBy>
  <cp:revision>7</cp:revision>
  <cp:lastPrinted>2018-10-17T13:33:00Z</cp:lastPrinted>
  <dcterms:created xsi:type="dcterms:W3CDTF">2026-02-01T17:05:00Z</dcterms:created>
  <dcterms:modified xsi:type="dcterms:W3CDTF">2026-02-03T17:06:00Z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83bf5b7f-dd22-46bb-b3ec-c858345fe614</vt:lpwstr>
  </property>
  <property fmtid="{D5CDD505-2E9C-101B-9397-08002B2CF9AE}" pid="3" name="ContentTypeId">
    <vt:lpwstr>0x01010056F00CD2F0DDC14BB6FC988836597E6E</vt:lpwstr>
  </property>
  <property fmtid="{D5CDD505-2E9C-101B-9397-08002B2CF9AE}" pid="4" name="MediaServiceImageTags">
    <vt:lpwstr/>
  </property>
  <property fmtid="{D5CDD505-2E9C-101B-9397-08002B2CF9AE}" pid="6" name="docLang">
    <vt:lpwstr>en</vt:lpwstr>
  </property>
</Properties>
</file>