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33"/>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95"/>
        <w:gridCol w:w="5400"/>
      </w:tblGrid>
      <w:tr w:rsidR="001E4475" w14:paraId="1685BD87" w14:textId="77777777" w:rsidTr="7B182A34">
        <w:tc>
          <w:tcPr>
            <w:tcW w:w="1795" w:type="dxa"/>
          </w:tcPr>
          <w:p w14:paraId="4BACE77E" w14:textId="77777777" w:rsidR="001E4475" w:rsidRPr="00203C1D" w:rsidRDefault="001E4475" w:rsidP="001E4475">
            <w:pPr>
              <w:rPr>
                <w:b/>
                <w:sz w:val="24"/>
                <w:szCs w:val="24"/>
              </w:rPr>
            </w:pPr>
            <w:r w:rsidRPr="00203C1D">
              <w:rPr>
                <w:b/>
                <w:sz w:val="24"/>
                <w:szCs w:val="24"/>
              </w:rPr>
              <w:t>Department</w:t>
            </w:r>
          </w:p>
        </w:tc>
        <w:tc>
          <w:tcPr>
            <w:tcW w:w="5400" w:type="dxa"/>
          </w:tcPr>
          <w:p w14:paraId="4339ABEF" w14:textId="659E448F" w:rsidR="001E4475" w:rsidRDefault="00AF1287" w:rsidP="001E4475">
            <w:pPr>
              <w:rPr>
                <w:sz w:val="24"/>
                <w:szCs w:val="24"/>
              </w:rPr>
            </w:pPr>
            <w:r>
              <w:rPr>
                <w:sz w:val="24"/>
                <w:szCs w:val="24"/>
              </w:rPr>
              <w:t>Acquisitions</w:t>
            </w:r>
            <w:r w:rsidR="00402BCF">
              <w:rPr>
                <w:sz w:val="24"/>
                <w:szCs w:val="24"/>
              </w:rPr>
              <w:t xml:space="preserve"> </w:t>
            </w:r>
          </w:p>
        </w:tc>
      </w:tr>
      <w:tr w:rsidR="001E4475" w14:paraId="652A3B12" w14:textId="77777777" w:rsidTr="7B182A34">
        <w:tc>
          <w:tcPr>
            <w:tcW w:w="1795" w:type="dxa"/>
          </w:tcPr>
          <w:p w14:paraId="23C4A562" w14:textId="77777777" w:rsidR="001E4475" w:rsidRPr="00203C1D" w:rsidRDefault="001E4475" w:rsidP="001E4475">
            <w:pPr>
              <w:rPr>
                <w:b/>
                <w:sz w:val="24"/>
                <w:szCs w:val="24"/>
              </w:rPr>
            </w:pPr>
            <w:r w:rsidRPr="00203C1D">
              <w:rPr>
                <w:b/>
                <w:sz w:val="24"/>
                <w:szCs w:val="24"/>
              </w:rPr>
              <w:t>Job Title</w:t>
            </w:r>
          </w:p>
        </w:tc>
        <w:tc>
          <w:tcPr>
            <w:tcW w:w="5400" w:type="dxa"/>
          </w:tcPr>
          <w:p w14:paraId="4A096310" w14:textId="6E6E339E" w:rsidR="001E4475" w:rsidRDefault="00AF1287" w:rsidP="0028445E">
            <w:pPr>
              <w:rPr>
                <w:sz w:val="24"/>
                <w:szCs w:val="24"/>
              </w:rPr>
            </w:pPr>
            <w:r>
              <w:rPr>
                <w:sz w:val="24"/>
                <w:szCs w:val="24"/>
              </w:rPr>
              <w:t>VP,</w:t>
            </w:r>
            <w:r w:rsidR="00E84B9C">
              <w:rPr>
                <w:sz w:val="24"/>
                <w:szCs w:val="24"/>
              </w:rPr>
              <w:t xml:space="preserve"> </w:t>
            </w:r>
            <w:r>
              <w:rPr>
                <w:sz w:val="24"/>
                <w:szCs w:val="24"/>
              </w:rPr>
              <w:t>Development</w:t>
            </w:r>
          </w:p>
        </w:tc>
      </w:tr>
      <w:tr w:rsidR="001E4475" w14:paraId="6CEE40D3" w14:textId="77777777" w:rsidTr="7B182A34">
        <w:tc>
          <w:tcPr>
            <w:tcW w:w="1795" w:type="dxa"/>
          </w:tcPr>
          <w:p w14:paraId="20290EB6" w14:textId="77777777" w:rsidR="001E4475" w:rsidRPr="00203C1D" w:rsidRDefault="001E4475" w:rsidP="001E4475">
            <w:pPr>
              <w:rPr>
                <w:b/>
                <w:sz w:val="24"/>
                <w:szCs w:val="24"/>
              </w:rPr>
            </w:pPr>
            <w:r w:rsidRPr="00203C1D">
              <w:rPr>
                <w:b/>
                <w:sz w:val="24"/>
                <w:szCs w:val="24"/>
              </w:rPr>
              <w:t>Reports to</w:t>
            </w:r>
          </w:p>
        </w:tc>
        <w:tc>
          <w:tcPr>
            <w:tcW w:w="5400" w:type="dxa"/>
          </w:tcPr>
          <w:p w14:paraId="6226288B" w14:textId="5C077B28" w:rsidR="001E4475" w:rsidRDefault="00E84B9C" w:rsidP="7B182A34">
            <w:pPr>
              <w:spacing w:line="259" w:lineRule="auto"/>
              <w:rPr>
                <w:sz w:val="24"/>
                <w:szCs w:val="24"/>
              </w:rPr>
            </w:pPr>
            <w:r>
              <w:rPr>
                <w:sz w:val="24"/>
                <w:szCs w:val="24"/>
              </w:rPr>
              <w:t xml:space="preserve">EVP, </w:t>
            </w:r>
            <w:r w:rsidR="000C1670">
              <w:rPr>
                <w:sz w:val="24"/>
                <w:szCs w:val="24"/>
              </w:rPr>
              <w:t>Acquisitions</w:t>
            </w:r>
          </w:p>
        </w:tc>
      </w:tr>
    </w:tbl>
    <w:p w14:paraId="0B39C0D0" w14:textId="77777777" w:rsidR="00203C1D" w:rsidRPr="003E725B" w:rsidRDefault="00203C1D" w:rsidP="003E725B">
      <w:pPr>
        <w:rPr>
          <w:szCs w:val="40"/>
        </w:rPr>
      </w:pPr>
    </w:p>
    <w:p w14:paraId="41A69D3D" w14:textId="77777777" w:rsidR="006C6C89" w:rsidRDefault="006C6C89" w:rsidP="00203C1D">
      <w:pPr>
        <w:rPr>
          <w:b/>
          <w:sz w:val="24"/>
          <w:szCs w:val="24"/>
        </w:rPr>
      </w:pPr>
    </w:p>
    <w:p w14:paraId="2FEB1769" w14:textId="77777777" w:rsidR="001E4475" w:rsidRDefault="001E4475" w:rsidP="00203C1D">
      <w:pPr>
        <w:rPr>
          <w:b/>
          <w:sz w:val="24"/>
          <w:szCs w:val="24"/>
        </w:rPr>
      </w:pPr>
    </w:p>
    <w:p w14:paraId="68EDE059" w14:textId="71EB8D94" w:rsidR="00203C1D" w:rsidRPr="00203C1D" w:rsidRDefault="00203C1D" w:rsidP="51E21FE2">
      <w:pPr>
        <w:rPr>
          <w:i/>
          <w:iCs/>
          <w:sz w:val="20"/>
          <w:szCs w:val="20"/>
        </w:rPr>
      </w:pPr>
      <w:r w:rsidRPr="51E21FE2">
        <w:rPr>
          <w:b/>
          <w:bCs/>
          <w:sz w:val="24"/>
          <w:szCs w:val="24"/>
        </w:rPr>
        <w:t>Job Summary:</w:t>
      </w:r>
      <w:r w:rsidRPr="51E21FE2">
        <w:rPr>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144" w:type="dxa"/>
          <w:bottom w:w="144" w:type="dxa"/>
          <w:right w:w="144" w:type="dxa"/>
        </w:tblCellMar>
        <w:tblLook w:val="04A0" w:firstRow="1" w:lastRow="0" w:firstColumn="1" w:lastColumn="0" w:noHBand="0" w:noVBand="1"/>
      </w:tblPr>
      <w:tblGrid>
        <w:gridCol w:w="10790"/>
      </w:tblGrid>
      <w:tr w:rsidR="00205F7F" w14:paraId="7A84FB01" w14:textId="77777777" w:rsidTr="00476182">
        <w:trPr>
          <w:trHeight w:val="2105"/>
        </w:trPr>
        <w:tc>
          <w:tcPr>
            <w:tcW w:w="10790" w:type="dxa"/>
          </w:tcPr>
          <w:p w14:paraId="08C4A1EF" w14:textId="682C17FB" w:rsidR="00205F7F" w:rsidRPr="00476182" w:rsidRDefault="00476182" w:rsidP="00476182">
            <w:pPr>
              <w:jc w:val="both"/>
            </w:pPr>
            <w:r>
              <w:t xml:space="preserve">The </w:t>
            </w:r>
            <w:r w:rsidRPr="00EF5243">
              <w:t xml:space="preserve">VP, </w:t>
            </w:r>
            <w:r>
              <w:t>Development has two primary areas of responsibility.  The first is the primary manager of the strategic repositioning of the portfolio of properties managed by Community Properties of Ohio (CPO) where OCCH or an affiliate control the General Partner.  This may include dispositions, preservation/rehabilitation transactions carried out by development partners, and potentially acquisitions.  The second responsibility is to implement and refine a business development platform that includes consulting, technical assistance, and training, focused on Public Housing conversion.  In these roles, the VP, Development works independently but in coordination with other departments and with CPO.</w:t>
            </w:r>
          </w:p>
        </w:tc>
      </w:tr>
    </w:tbl>
    <w:p w14:paraId="5A9E4382" w14:textId="77777777" w:rsidR="006C6C89" w:rsidRDefault="006C6C89" w:rsidP="00203C1D">
      <w:pPr>
        <w:rPr>
          <w:b/>
          <w:sz w:val="24"/>
          <w:szCs w:val="24"/>
        </w:rPr>
      </w:pPr>
    </w:p>
    <w:p w14:paraId="0490ACAB" w14:textId="03E5D347" w:rsidR="00203C1D" w:rsidRPr="00205F7F" w:rsidRDefault="00203C1D" w:rsidP="51E21FE2">
      <w:pPr>
        <w:rPr>
          <w:i/>
          <w:iCs/>
          <w:sz w:val="24"/>
          <w:szCs w:val="24"/>
        </w:rPr>
      </w:pPr>
      <w:r w:rsidRPr="51E21FE2">
        <w:rPr>
          <w:b/>
          <w:bCs/>
          <w:sz w:val="24"/>
          <w:szCs w:val="24"/>
        </w:rPr>
        <w:t>Essential Job Functions:</w:t>
      </w:r>
      <w:r w:rsidRPr="51E21FE2">
        <w:rPr>
          <w:sz w:val="24"/>
          <w:szCs w:val="24"/>
        </w:rPr>
        <w:t xml:space="preserve"> </w:t>
      </w: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144" w:type="dxa"/>
          <w:bottom w:w="144" w:type="dxa"/>
          <w:right w:w="144" w:type="dxa"/>
        </w:tblCellMar>
        <w:tblLook w:val="04A0" w:firstRow="1" w:lastRow="0" w:firstColumn="1" w:lastColumn="0" w:noHBand="0" w:noVBand="1"/>
      </w:tblPr>
      <w:tblGrid>
        <w:gridCol w:w="10679"/>
      </w:tblGrid>
      <w:tr w:rsidR="00FC7182" w:rsidRPr="00E60A6F" w14:paraId="733CA723" w14:textId="77777777" w:rsidTr="00FC7182">
        <w:trPr>
          <w:trHeight w:val="1946"/>
          <w:jc w:val="center"/>
        </w:trPr>
        <w:tc>
          <w:tcPr>
            <w:tcW w:w="10679" w:type="dxa"/>
          </w:tcPr>
          <w:p w14:paraId="062C7E38" w14:textId="77777777" w:rsidR="000256A7" w:rsidRDefault="000256A7" w:rsidP="000256A7">
            <w:pPr>
              <w:pStyle w:val="ListParagraph"/>
              <w:numPr>
                <w:ilvl w:val="0"/>
                <w:numId w:val="10"/>
              </w:numPr>
              <w:jc w:val="both"/>
            </w:pPr>
            <w:r>
              <w:t>Responsible for implementing a strategy, approved by the OCCH board and Leadership Team, for the repositioning of the portfolio of properties where OCCH or an affiliate control the General Partner</w:t>
            </w:r>
          </w:p>
          <w:p w14:paraId="73F2E48F" w14:textId="77777777" w:rsidR="000256A7" w:rsidRDefault="000256A7" w:rsidP="000256A7">
            <w:pPr>
              <w:pStyle w:val="ListParagraph"/>
              <w:numPr>
                <w:ilvl w:val="0"/>
                <w:numId w:val="10"/>
              </w:numPr>
              <w:jc w:val="both"/>
            </w:pPr>
            <w:r>
              <w:t>Manages a comprehensive effort with HUD to restructure the regulatory requirements for the CPO portfolio to best support the properties’ long-term physical and financial viability as affordable housing</w:t>
            </w:r>
          </w:p>
          <w:p w14:paraId="48374752" w14:textId="77777777" w:rsidR="000256A7" w:rsidRDefault="000256A7" w:rsidP="000256A7">
            <w:pPr>
              <w:pStyle w:val="ListParagraph"/>
              <w:numPr>
                <w:ilvl w:val="0"/>
                <w:numId w:val="10"/>
              </w:numPr>
              <w:jc w:val="both"/>
            </w:pPr>
            <w:r>
              <w:t>Provides oversight and direction to external firms carrying out specific components of the repositioning strategy, including developers, commercial brokers, and professional consultants</w:t>
            </w:r>
          </w:p>
          <w:p w14:paraId="0BB7FAEB" w14:textId="77777777" w:rsidR="000256A7" w:rsidRDefault="000256A7" w:rsidP="000256A7">
            <w:pPr>
              <w:pStyle w:val="ListParagraph"/>
              <w:numPr>
                <w:ilvl w:val="0"/>
                <w:numId w:val="10"/>
              </w:numPr>
              <w:jc w:val="both"/>
            </w:pPr>
            <w:r>
              <w:t>Responds to development partner needs for due diligence, financial reports, coordinating physical access</w:t>
            </w:r>
          </w:p>
          <w:p w14:paraId="2C21D2F4" w14:textId="77777777" w:rsidR="000256A7" w:rsidRDefault="000256A7" w:rsidP="000256A7">
            <w:pPr>
              <w:pStyle w:val="ListParagraph"/>
              <w:numPr>
                <w:ilvl w:val="0"/>
                <w:numId w:val="10"/>
              </w:numPr>
              <w:jc w:val="both"/>
            </w:pPr>
            <w:r>
              <w:t>Evaluates and proposes frameworks that optimize OCCH’s role and outcomes in the ownership and/or management of affordable housing and strategies to achieve them</w:t>
            </w:r>
          </w:p>
          <w:p w14:paraId="28A69C5B" w14:textId="77777777" w:rsidR="000256A7" w:rsidRDefault="000256A7" w:rsidP="000256A7">
            <w:pPr>
              <w:pStyle w:val="ListParagraph"/>
              <w:numPr>
                <w:ilvl w:val="0"/>
                <w:numId w:val="10"/>
              </w:numPr>
              <w:jc w:val="both"/>
            </w:pPr>
            <w:r>
              <w:t>Responsible for the timely and appropriate flow of communication internally at OCCH and CPO, with external property stakeholders, and with agency partners</w:t>
            </w:r>
          </w:p>
          <w:p w14:paraId="1AC90E00" w14:textId="77777777" w:rsidR="000256A7" w:rsidRDefault="000256A7" w:rsidP="000256A7">
            <w:pPr>
              <w:pStyle w:val="ListParagraph"/>
              <w:numPr>
                <w:ilvl w:val="0"/>
                <w:numId w:val="10"/>
              </w:numPr>
              <w:jc w:val="both"/>
            </w:pPr>
            <w:r>
              <w:t>Fosters potential equity investment and lending opportunities aligned with investor and OCFC needs through consultation that advances PHA portfolio repositioning and development pipelines</w:t>
            </w:r>
          </w:p>
          <w:p w14:paraId="2E2ADFA8" w14:textId="77777777" w:rsidR="000256A7" w:rsidRDefault="000256A7" w:rsidP="000256A7">
            <w:pPr>
              <w:pStyle w:val="ListParagraph"/>
              <w:numPr>
                <w:ilvl w:val="0"/>
                <w:numId w:val="10"/>
              </w:numPr>
              <w:jc w:val="both"/>
            </w:pPr>
            <w:r>
              <w:t>Develops introductory and technical assistance materials for use in consultation with PHA’s on public housing conversion and redevelopment</w:t>
            </w:r>
          </w:p>
          <w:p w14:paraId="3DD2F8B6" w14:textId="77777777" w:rsidR="000256A7" w:rsidRDefault="000256A7" w:rsidP="000256A7">
            <w:pPr>
              <w:pStyle w:val="ListParagraph"/>
              <w:numPr>
                <w:ilvl w:val="0"/>
                <w:numId w:val="10"/>
              </w:numPr>
              <w:jc w:val="both"/>
            </w:pPr>
            <w:r>
              <w:t xml:space="preserve">Helps to create a consulting revenue generation structure for OCCH that provides value to PHA and developer partners </w:t>
            </w:r>
          </w:p>
          <w:p w14:paraId="619C3F4C" w14:textId="77777777" w:rsidR="000256A7" w:rsidRDefault="000256A7" w:rsidP="000256A7">
            <w:pPr>
              <w:pStyle w:val="ListParagraph"/>
              <w:numPr>
                <w:ilvl w:val="0"/>
                <w:numId w:val="10"/>
              </w:numPr>
              <w:jc w:val="both"/>
            </w:pPr>
            <w:r>
              <w:t xml:space="preserve">Participate in exploring </w:t>
            </w:r>
            <w:r w:rsidRPr="00C85613">
              <w:t>new investment and lending opportunities focused on non-traditional areas of operation for the organization</w:t>
            </w:r>
          </w:p>
          <w:p w14:paraId="42353701" w14:textId="77777777" w:rsidR="000256A7" w:rsidRDefault="000256A7" w:rsidP="000256A7">
            <w:pPr>
              <w:pStyle w:val="ListParagraph"/>
              <w:numPr>
                <w:ilvl w:val="0"/>
                <w:numId w:val="10"/>
              </w:numPr>
              <w:jc w:val="both"/>
            </w:pPr>
            <w:r>
              <w:t>Other duties as assigned</w:t>
            </w:r>
          </w:p>
          <w:p w14:paraId="67525A87" w14:textId="442979A5" w:rsidR="00FC7182" w:rsidRPr="001B7169" w:rsidRDefault="00FC7182" w:rsidP="000256A7">
            <w:pPr>
              <w:spacing w:beforeAutospacing="1" w:afterAutospacing="1"/>
              <w:textAlignment w:val="baseline"/>
              <w:rPr>
                <w:rFonts w:eastAsia="Times New Roman" w:cstheme="minorHAnsi"/>
              </w:rPr>
            </w:pPr>
          </w:p>
        </w:tc>
      </w:tr>
    </w:tbl>
    <w:p w14:paraId="488111DB" w14:textId="77777777" w:rsidR="00A10CE7" w:rsidRDefault="00A10CE7" w:rsidP="00203C1D">
      <w:pPr>
        <w:rPr>
          <w:rFonts w:cstheme="minorHAnsi"/>
          <w:b/>
        </w:rPr>
      </w:pPr>
    </w:p>
    <w:p w14:paraId="10D14D63" w14:textId="29915BF2" w:rsidR="00205F7F" w:rsidRPr="00E60A6F" w:rsidRDefault="00205F7F" w:rsidP="00203C1D">
      <w:pPr>
        <w:rPr>
          <w:rFonts w:cstheme="minorHAnsi"/>
          <w:b/>
        </w:rPr>
      </w:pPr>
      <w:r w:rsidRPr="00E60A6F">
        <w:rPr>
          <w:rFonts w:cstheme="minorHAnsi"/>
          <w:b/>
        </w:rPr>
        <w:t>Education/Certifications: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90"/>
      </w:tblGrid>
      <w:tr w:rsidR="00205F7F" w:rsidRPr="00E60A6F" w14:paraId="10DD1D0B" w14:textId="77777777" w:rsidTr="009A5171">
        <w:tc>
          <w:tcPr>
            <w:tcW w:w="10790" w:type="dxa"/>
            <w:tcMar>
              <w:top w:w="144" w:type="dxa"/>
              <w:left w:w="144" w:type="dxa"/>
              <w:bottom w:w="144" w:type="dxa"/>
              <w:right w:w="144" w:type="dxa"/>
            </w:tcMar>
          </w:tcPr>
          <w:p w14:paraId="761B501B" w14:textId="71E2541B" w:rsidR="003468BC" w:rsidRPr="00E60A6F" w:rsidRDefault="00574DE1" w:rsidP="00CC106A">
            <w:pPr>
              <w:rPr>
                <w:rFonts w:cstheme="minorHAnsi"/>
              </w:rPr>
            </w:pPr>
            <w:r w:rsidRPr="00E60A6F">
              <w:rPr>
                <w:rFonts w:cstheme="minorHAnsi"/>
              </w:rPr>
              <w:lastRenderedPageBreak/>
              <w:t xml:space="preserve">Bachelor’s </w:t>
            </w:r>
            <w:r w:rsidR="000B05D8">
              <w:rPr>
                <w:rFonts w:cstheme="minorHAnsi"/>
              </w:rPr>
              <w:t xml:space="preserve">degree required </w:t>
            </w:r>
          </w:p>
        </w:tc>
      </w:tr>
    </w:tbl>
    <w:p w14:paraId="32A3AA32" w14:textId="77777777" w:rsidR="00205F7F" w:rsidRPr="00E60A6F" w:rsidRDefault="00205F7F" w:rsidP="000D2EFD">
      <w:pPr>
        <w:spacing w:before="120"/>
        <w:jc w:val="both"/>
        <w:rPr>
          <w:rFonts w:cstheme="minorHAnsi"/>
          <w:b/>
        </w:rPr>
      </w:pPr>
      <w:r w:rsidRPr="00E60A6F">
        <w:rPr>
          <w:rFonts w:cstheme="minorHAnsi"/>
          <w:b/>
        </w:rPr>
        <w:t>Work Experience: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144" w:type="dxa"/>
          <w:bottom w:w="144" w:type="dxa"/>
          <w:right w:w="144" w:type="dxa"/>
        </w:tblCellMar>
        <w:tblLook w:val="04A0" w:firstRow="1" w:lastRow="0" w:firstColumn="1" w:lastColumn="0" w:noHBand="0" w:noVBand="1"/>
      </w:tblPr>
      <w:tblGrid>
        <w:gridCol w:w="10790"/>
      </w:tblGrid>
      <w:tr w:rsidR="00205F7F" w:rsidRPr="00E60A6F" w14:paraId="58331763" w14:textId="77777777" w:rsidTr="009A5171">
        <w:tc>
          <w:tcPr>
            <w:tcW w:w="10790" w:type="dxa"/>
          </w:tcPr>
          <w:p w14:paraId="667291C9" w14:textId="77777777" w:rsidR="00B10137" w:rsidRDefault="00B10137" w:rsidP="00B10137">
            <w:pPr>
              <w:pStyle w:val="ListParagraph"/>
              <w:numPr>
                <w:ilvl w:val="0"/>
                <w:numId w:val="5"/>
              </w:numPr>
            </w:pPr>
            <w:r>
              <w:t>Minimum of 5 years of direct experience in affordable multifamily housing</w:t>
            </w:r>
          </w:p>
          <w:p w14:paraId="544FB67E" w14:textId="77777777" w:rsidR="00B10137" w:rsidRDefault="00B10137" w:rsidP="00B10137">
            <w:pPr>
              <w:pStyle w:val="ListParagraph"/>
              <w:numPr>
                <w:ilvl w:val="0"/>
                <w:numId w:val="5"/>
              </w:numPr>
            </w:pPr>
            <w:r>
              <w:t xml:space="preserve">Experience with complex, mixed-finance transactions utilizing tax-exempt bonds, LIHTC, HUD and other affordable housing finance tools  </w:t>
            </w:r>
          </w:p>
          <w:p w14:paraId="0CD16597" w14:textId="1118DDE3" w:rsidR="00D11399" w:rsidRPr="00D11399" w:rsidRDefault="00B10137" w:rsidP="00B10137">
            <w:pPr>
              <w:numPr>
                <w:ilvl w:val="0"/>
                <w:numId w:val="5"/>
              </w:numPr>
              <w:rPr>
                <w:rFonts w:eastAsia="Times New Roman" w:cstheme="minorHAnsi"/>
              </w:rPr>
            </w:pPr>
            <w:r>
              <w:t xml:space="preserve">Comprehensive knowledge of HUD public housing conversion and LIHTC programs, commercial real estate development, </w:t>
            </w:r>
            <w:proofErr w:type="gramStart"/>
            <w:r>
              <w:t>partnership legal</w:t>
            </w:r>
            <w:proofErr w:type="gramEnd"/>
            <w:r>
              <w:t>, taxation, and regulatory issues</w:t>
            </w:r>
          </w:p>
        </w:tc>
      </w:tr>
    </w:tbl>
    <w:p w14:paraId="673D3F20" w14:textId="77777777" w:rsidR="00203C1D" w:rsidRPr="00E60A6F" w:rsidRDefault="00205F7F" w:rsidP="000D2EFD">
      <w:pPr>
        <w:spacing w:before="120"/>
        <w:rPr>
          <w:rFonts w:cstheme="minorHAnsi"/>
          <w:b/>
        </w:rPr>
      </w:pPr>
      <w:r w:rsidRPr="00E60A6F">
        <w:rPr>
          <w:rFonts w:cstheme="minorHAnsi"/>
          <w:b/>
        </w:rPr>
        <w:t>Knowledge, Skills &amp; Abilities: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90"/>
      </w:tblGrid>
      <w:tr w:rsidR="00205F7F" w:rsidRPr="00E60A6F" w14:paraId="7384E5C0" w14:textId="77777777" w:rsidTr="009A5171">
        <w:tc>
          <w:tcPr>
            <w:tcW w:w="10790" w:type="dxa"/>
            <w:tcMar>
              <w:top w:w="144" w:type="dxa"/>
              <w:left w:w="144" w:type="dxa"/>
              <w:bottom w:w="144" w:type="dxa"/>
              <w:right w:w="144" w:type="dxa"/>
            </w:tcMar>
          </w:tcPr>
          <w:p w14:paraId="4DF67047" w14:textId="77777777" w:rsidR="00E903A0" w:rsidRDefault="00E903A0" w:rsidP="00E903A0">
            <w:pPr>
              <w:pStyle w:val="ListParagraph"/>
              <w:numPr>
                <w:ilvl w:val="0"/>
                <w:numId w:val="12"/>
              </w:numPr>
            </w:pPr>
            <w:r>
              <w:t xml:space="preserve">Ability </w:t>
            </w:r>
            <w:proofErr w:type="gramStart"/>
            <w:r>
              <w:t>to  interact</w:t>
            </w:r>
            <w:proofErr w:type="gramEnd"/>
            <w:r>
              <w:t xml:space="preserve"> well with external and internal (cross-functional) partners</w:t>
            </w:r>
          </w:p>
          <w:p w14:paraId="023E289E" w14:textId="77777777" w:rsidR="00E903A0" w:rsidRDefault="00E903A0" w:rsidP="00E903A0">
            <w:pPr>
              <w:pStyle w:val="ListParagraph"/>
              <w:numPr>
                <w:ilvl w:val="0"/>
                <w:numId w:val="12"/>
              </w:numPr>
            </w:pPr>
            <w:r>
              <w:t>Thorough understanding of LIHTC underwriting model</w:t>
            </w:r>
          </w:p>
          <w:p w14:paraId="25A8DA31" w14:textId="77777777" w:rsidR="00E903A0" w:rsidRDefault="00E903A0" w:rsidP="00E903A0">
            <w:pPr>
              <w:pStyle w:val="ListParagraph"/>
              <w:numPr>
                <w:ilvl w:val="0"/>
                <w:numId w:val="12"/>
              </w:numPr>
            </w:pPr>
            <w:r>
              <w:t>Strong attention to detail</w:t>
            </w:r>
          </w:p>
          <w:p w14:paraId="59C74465" w14:textId="77777777" w:rsidR="00E903A0" w:rsidRDefault="00E903A0" w:rsidP="00E903A0">
            <w:pPr>
              <w:pStyle w:val="ListParagraph"/>
              <w:numPr>
                <w:ilvl w:val="0"/>
                <w:numId w:val="12"/>
              </w:numPr>
            </w:pPr>
            <w:r>
              <w:t>Ability to be an effective liaison between different constituent groups</w:t>
            </w:r>
          </w:p>
          <w:p w14:paraId="07A22C29" w14:textId="0D33F5C1" w:rsidR="007E7E69" w:rsidRPr="00D7466B" w:rsidRDefault="00E903A0" w:rsidP="00E903A0">
            <w:pPr>
              <w:pStyle w:val="ListParagraph"/>
              <w:numPr>
                <w:ilvl w:val="0"/>
                <w:numId w:val="12"/>
              </w:numPr>
            </w:pPr>
            <w:r>
              <w:t>Ability to work independently and drive outcomes</w:t>
            </w:r>
          </w:p>
        </w:tc>
      </w:tr>
    </w:tbl>
    <w:p w14:paraId="7D1BE17E" w14:textId="08311B50" w:rsidR="00574DE1" w:rsidRPr="00E60A6F" w:rsidRDefault="00B02D38" w:rsidP="000D2EFD">
      <w:pPr>
        <w:spacing w:before="120"/>
        <w:rPr>
          <w:rFonts w:cstheme="minorHAnsi"/>
          <w:b/>
        </w:rPr>
      </w:pPr>
      <w:r w:rsidRPr="00E60A6F">
        <w:rPr>
          <w:rFonts w:cstheme="minorHAnsi"/>
          <w:b/>
        </w:rPr>
        <w:t xml:space="preserve">About </w:t>
      </w:r>
      <w:r w:rsidR="00125C97">
        <w:rPr>
          <w:rFonts w:cstheme="minorHAnsi"/>
          <w:b/>
        </w:rPr>
        <w:t>OCCH</w:t>
      </w:r>
      <w:r w:rsidRPr="00E60A6F">
        <w:rPr>
          <w:rFonts w:cstheme="minorHAnsi"/>
          <w:b/>
        </w:rPr>
        <w:t>:</w:t>
      </w:r>
    </w:p>
    <w:p w14:paraId="4D29ECC6" w14:textId="15BD821F" w:rsidR="00AE6D09" w:rsidRDefault="00AE6D09" w:rsidP="00AE6D09">
      <w:pPr>
        <w:jc w:val="both"/>
      </w:pPr>
      <w:r>
        <w:t>OCCH is a mission-aligned, non-profit low-income housing tax credit (LIHTC) syndicator. For over 35 years, OCCH has leveraged investor capital to enable affordable housing developments in ten states, totaling over $</w:t>
      </w:r>
      <w:r w:rsidR="001743EF">
        <w:t>7</w:t>
      </w:r>
      <w:r>
        <w:t xml:space="preserve"> billion in equity investments, and 6</w:t>
      </w:r>
      <w:r w:rsidR="001743EF">
        <w:t>6</w:t>
      </w:r>
      <w:r>
        <w:t xml:space="preserve">,000 units.  OCCH supports developments and partners throughout the investment lifetime via its expertise and affiliate organizations – OCFC, OCIC, Community Properties of Ohio (CPO), and the Affordable Housing Training Academy (AHTA). OCCH invests in </w:t>
      </w:r>
      <w:r w:rsidR="00C36EAA">
        <w:t>creating community</w:t>
      </w:r>
      <w:r>
        <w:t xml:space="preserve"> through housing and partnerships. </w:t>
      </w:r>
    </w:p>
    <w:p w14:paraId="5C6D552C" w14:textId="77777777" w:rsidR="00AE6D09" w:rsidRPr="00B50CE4" w:rsidRDefault="00AE6D09" w:rsidP="00AE6D09">
      <w:pPr>
        <w:jc w:val="both"/>
        <w:rPr>
          <w:b/>
          <w:bCs/>
        </w:rPr>
      </w:pPr>
      <w:r>
        <w:t xml:space="preserve">To learn more about OCCH visit, </w:t>
      </w:r>
      <w:hyperlink r:id="rId7" w:history="1">
        <w:r w:rsidRPr="00C40709">
          <w:rPr>
            <w:rStyle w:val="Hyperlink"/>
          </w:rPr>
          <w:t>www.occh.org</w:t>
        </w:r>
      </w:hyperlink>
      <w:r>
        <w:t xml:space="preserve">. </w:t>
      </w:r>
    </w:p>
    <w:p w14:paraId="308A3D39" w14:textId="07630A3B" w:rsidR="00574DE1" w:rsidRPr="00E60A6F" w:rsidRDefault="00574DE1" w:rsidP="00574DE1">
      <w:pPr>
        <w:rPr>
          <w:rFonts w:cstheme="minorHAnsi"/>
        </w:rPr>
      </w:pPr>
      <w:r w:rsidRPr="00E60A6F">
        <w:rPr>
          <w:rFonts w:cstheme="minorHAnsi"/>
        </w:rPr>
        <w:t xml:space="preserve">Our mission is to advance the preservation, production, and management of affordable housing through collaborative partnerships and innovative thought leadership. Our mission is at the heart of everything we do. Our core values are our building blocks and foundation. Our values of </w:t>
      </w:r>
      <w:r w:rsidRPr="00E60A6F">
        <w:rPr>
          <w:rFonts w:cstheme="minorHAnsi"/>
          <w:b/>
          <w:bCs/>
        </w:rPr>
        <w:t>CREATING</w:t>
      </w:r>
      <w:r w:rsidRPr="00E60A6F">
        <w:rPr>
          <w:rFonts w:cstheme="minorHAnsi"/>
        </w:rPr>
        <w:t xml:space="preserve">: </w:t>
      </w:r>
      <w:r w:rsidRPr="00E60A6F">
        <w:rPr>
          <w:rFonts w:cstheme="minorHAnsi"/>
          <w:b/>
          <w:bCs/>
        </w:rPr>
        <w:t>C</w:t>
      </w:r>
      <w:r w:rsidRPr="00E60A6F">
        <w:rPr>
          <w:rFonts w:cstheme="minorHAnsi"/>
        </w:rPr>
        <w:t xml:space="preserve">ollaboration &amp; </w:t>
      </w:r>
      <w:r w:rsidRPr="00E60A6F">
        <w:rPr>
          <w:rFonts w:cstheme="minorHAnsi"/>
          <w:b/>
          <w:bCs/>
        </w:rPr>
        <w:t>C</w:t>
      </w:r>
      <w:r w:rsidRPr="00E60A6F">
        <w:rPr>
          <w:rFonts w:cstheme="minorHAnsi"/>
        </w:rPr>
        <w:t xml:space="preserve">ommunication, </w:t>
      </w:r>
      <w:r w:rsidRPr="00E60A6F">
        <w:rPr>
          <w:rFonts w:cstheme="minorHAnsi"/>
          <w:b/>
          <w:bCs/>
        </w:rPr>
        <w:t>R</w:t>
      </w:r>
      <w:r w:rsidRPr="00E60A6F">
        <w:rPr>
          <w:rFonts w:cstheme="minorHAnsi"/>
        </w:rPr>
        <w:t xml:space="preserve">espect, </w:t>
      </w:r>
      <w:r w:rsidRPr="00E60A6F">
        <w:rPr>
          <w:rFonts w:cstheme="minorHAnsi"/>
          <w:b/>
          <w:bCs/>
        </w:rPr>
        <w:t>E</w:t>
      </w:r>
      <w:r w:rsidRPr="00E60A6F">
        <w:rPr>
          <w:rFonts w:cstheme="minorHAnsi"/>
        </w:rPr>
        <w:t xml:space="preserve">xpertise, </w:t>
      </w:r>
      <w:r w:rsidRPr="00E60A6F">
        <w:rPr>
          <w:rFonts w:cstheme="minorHAnsi"/>
          <w:b/>
          <w:bCs/>
        </w:rPr>
        <w:t>A</w:t>
      </w:r>
      <w:r w:rsidRPr="00E60A6F">
        <w:rPr>
          <w:rFonts w:cstheme="minorHAnsi"/>
        </w:rPr>
        <w:t xml:space="preserve">ccountability, </w:t>
      </w:r>
      <w:r w:rsidRPr="00E60A6F">
        <w:rPr>
          <w:rFonts w:cstheme="minorHAnsi"/>
          <w:b/>
          <w:bCs/>
        </w:rPr>
        <w:t>T</w:t>
      </w:r>
      <w:r w:rsidRPr="00E60A6F">
        <w:rPr>
          <w:rFonts w:cstheme="minorHAnsi"/>
        </w:rPr>
        <w:t xml:space="preserve">rust, </w:t>
      </w:r>
      <w:r w:rsidRPr="00E60A6F">
        <w:rPr>
          <w:rFonts w:cstheme="minorHAnsi"/>
          <w:b/>
          <w:bCs/>
        </w:rPr>
        <w:t>I</w:t>
      </w:r>
      <w:r w:rsidRPr="00E60A6F">
        <w:rPr>
          <w:rFonts w:cstheme="minorHAnsi"/>
        </w:rPr>
        <w:t xml:space="preserve">nnovation, </w:t>
      </w:r>
      <w:proofErr w:type="spellStart"/>
      <w:proofErr w:type="gramStart"/>
      <w:r w:rsidRPr="00E60A6F">
        <w:rPr>
          <w:rFonts w:cstheme="minorHAnsi"/>
        </w:rPr>
        <w:t>i</w:t>
      </w:r>
      <w:r w:rsidRPr="00E60A6F">
        <w:rPr>
          <w:rFonts w:cstheme="minorHAnsi"/>
          <w:b/>
          <w:bCs/>
        </w:rPr>
        <w:t>N</w:t>
      </w:r>
      <w:r w:rsidRPr="00E60A6F">
        <w:rPr>
          <w:rFonts w:cstheme="minorHAnsi"/>
        </w:rPr>
        <w:t>clusion</w:t>
      </w:r>
      <w:proofErr w:type="spellEnd"/>
      <w:proofErr w:type="gramEnd"/>
      <w:r w:rsidRPr="00E60A6F">
        <w:rPr>
          <w:rFonts w:cstheme="minorHAnsi"/>
        </w:rPr>
        <w:t xml:space="preserve"> &amp; </w:t>
      </w:r>
      <w:r w:rsidRPr="00E60A6F">
        <w:rPr>
          <w:rFonts w:cstheme="minorHAnsi"/>
          <w:b/>
          <w:bCs/>
        </w:rPr>
        <w:t>G</w:t>
      </w:r>
      <w:r w:rsidRPr="00E60A6F">
        <w:rPr>
          <w:rFonts w:cstheme="minorHAnsi"/>
        </w:rPr>
        <w:t xml:space="preserve">rowth, will guide our behaviors ensuring a consistent focus on quality and progress toward our vision. Ideal candidates will be passionate about our mission and exhibit our core values with a commitment to continuous improvement and growth. </w:t>
      </w:r>
    </w:p>
    <w:p w14:paraId="30BB1506" w14:textId="27AC3EBB" w:rsidR="00574DE1" w:rsidRPr="00E60A6F" w:rsidRDefault="00574DE1" w:rsidP="00574DE1">
      <w:pPr>
        <w:spacing w:after="0" w:line="240" w:lineRule="auto"/>
        <w:rPr>
          <w:rFonts w:cstheme="minorHAnsi"/>
        </w:rPr>
      </w:pPr>
      <w:r w:rsidRPr="00E60A6F">
        <w:rPr>
          <w:rFonts w:cstheme="minorHAnsi"/>
        </w:rPr>
        <w:t xml:space="preserve">OCCH is an equal opportunity employer. Equal employment </w:t>
      </w:r>
      <w:proofErr w:type="gramStart"/>
      <w:r w:rsidRPr="00E60A6F">
        <w:rPr>
          <w:rFonts w:cstheme="minorHAnsi"/>
        </w:rPr>
        <w:t>opportunity is</w:t>
      </w:r>
      <w:proofErr w:type="gramEnd"/>
      <w:r w:rsidRPr="00E60A6F">
        <w:rPr>
          <w:rFonts w:cstheme="minorHAnsi"/>
        </w:rPr>
        <w:t xml:space="preserve"> not only good practice - </w:t>
      </w:r>
      <w:r w:rsidRPr="00E60A6F">
        <w:rPr>
          <w:rFonts w:cstheme="minorHAnsi"/>
          <w:i/>
          <w:iCs/>
        </w:rPr>
        <w:t>it is the law</w:t>
      </w:r>
      <w:r w:rsidRPr="00E60A6F">
        <w:rPr>
          <w:rFonts w:cstheme="minorHAnsi"/>
        </w:rPr>
        <w:t xml:space="preserve"> and applies to all areas of employment, including recruitment, selection, hiring, training, transfer, promotion and demotion, termination, compensation and benefits. As an equal opportunity employer, OCCH prohibits unlawful discrimination based on race, religion, creed, color, national origin or ancestry, sex, age, marital status, sexual orientation, gender, gender identity, gender expression, genetic expression, disability, veteran or military status, or any other basis that would be in violation of any applicable federal, state or local law.</w:t>
      </w:r>
    </w:p>
    <w:p w14:paraId="5D64CEA3" w14:textId="77777777" w:rsidR="00574DE1" w:rsidRPr="00E60A6F" w:rsidRDefault="00574DE1" w:rsidP="00203C1D">
      <w:pPr>
        <w:rPr>
          <w:rFonts w:cstheme="minorHAnsi"/>
        </w:rPr>
      </w:pPr>
    </w:p>
    <w:sectPr w:rsidR="00574DE1" w:rsidRPr="00E60A6F" w:rsidSect="007F5351">
      <w:headerReference w:type="default" r:id="rId8"/>
      <w:footerReference w:type="default" r:id="rId9"/>
      <w:pgSz w:w="12240" w:h="15840"/>
      <w:pgMar w:top="2070" w:right="720" w:bottom="45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F1AD" w14:textId="77777777" w:rsidR="00631199" w:rsidRDefault="00631199" w:rsidP="003E725B">
      <w:pPr>
        <w:spacing w:after="0" w:line="240" w:lineRule="auto"/>
      </w:pPr>
      <w:r>
        <w:separator/>
      </w:r>
    </w:p>
  </w:endnote>
  <w:endnote w:type="continuationSeparator" w:id="0">
    <w:p w14:paraId="4550AA92" w14:textId="77777777" w:rsidR="00631199" w:rsidRDefault="00631199" w:rsidP="003E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24781"/>
      <w:docPartObj>
        <w:docPartGallery w:val="Page Numbers (Bottom of Page)"/>
        <w:docPartUnique/>
      </w:docPartObj>
    </w:sdtPr>
    <w:sdtEndPr/>
    <w:sdtContent>
      <w:sdt>
        <w:sdtPr>
          <w:id w:val="1121731105"/>
          <w:docPartObj>
            <w:docPartGallery w:val="Page Numbers (Top of Page)"/>
            <w:docPartUnique/>
          </w:docPartObj>
        </w:sdtPr>
        <w:sdtEndPr/>
        <w:sdtContent>
          <w:p w14:paraId="579D5D5E" w14:textId="77777777" w:rsidR="007F6F46" w:rsidRDefault="007F6F46" w:rsidP="007F6F4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04EFE" w14:paraId="3B1E8A59" w14:textId="77777777" w:rsidTr="00B04EFE">
              <w:trPr>
                <w:trHeight w:val="77"/>
              </w:trPr>
              <w:tc>
                <w:tcPr>
                  <w:tcW w:w="3596" w:type="dxa"/>
                </w:tcPr>
                <w:p w14:paraId="4B13D443" w14:textId="60552358" w:rsidR="00B04EFE" w:rsidRDefault="0028445E" w:rsidP="00FF7E79">
                  <w:pPr>
                    <w:pStyle w:val="Footer"/>
                  </w:pPr>
                  <w:r>
                    <w:rPr>
                      <w:sz w:val="18"/>
                    </w:rPr>
                    <w:t xml:space="preserve">Revised </w:t>
                  </w:r>
                  <w:r w:rsidR="005E7C81">
                    <w:rPr>
                      <w:sz w:val="18"/>
                    </w:rPr>
                    <w:t>11/2025</w:t>
                  </w:r>
                </w:p>
              </w:tc>
              <w:tc>
                <w:tcPr>
                  <w:tcW w:w="3597" w:type="dxa"/>
                </w:tcPr>
                <w:p w14:paraId="52C2E482" w14:textId="77777777" w:rsidR="00B04EFE" w:rsidRDefault="00B04EFE">
                  <w:pPr>
                    <w:pStyle w:val="Footer"/>
                    <w:jc w:val="center"/>
                  </w:pPr>
                </w:p>
              </w:tc>
              <w:tc>
                <w:tcPr>
                  <w:tcW w:w="3597" w:type="dxa"/>
                </w:tcPr>
                <w:p w14:paraId="19C524B9" w14:textId="77777777" w:rsidR="00B04EFE" w:rsidRDefault="00B04EFE" w:rsidP="00B04EFE">
                  <w:pPr>
                    <w:pStyle w:val="Footer"/>
                    <w:jc w:val="right"/>
                  </w:pPr>
                  <w:r w:rsidRPr="003E725B">
                    <w:rPr>
                      <w:sz w:val="18"/>
                    </w:rPr>
                    <w:t xml:space="preserve">Page </w:t>
                  </w:r>
                  <w:r w:rsidRPr="003E725B">
                    <w:rPr>
                      <w:b/>
                      <w:bCs/>
                      <w:sz w:val="20"/>
                      <w:szCs w:val="24"/>
                    </w:rPr>
                    <w:fldChar w:fldCharType="begin"/>
                  </w:r>
                  <w:r w:rsidRPr="003E725B">
                    <w:rPr>
                      <w:b/>
                      <w:bCs/>
                      <w:sz w:val="18"/>
                    </w:rPr>
                    <w:instrText xml:space="preserve"> PAGE </w:instrText>
                  </w:r>
                  <w:r w:rsidRPr="003E725B">
                    <w:rPr>
                      <w:b/>
                      <w:bCs/>
                      <w:sz w:val="20"/>
                      <w:szCs w:val="24"/>
                    </w:rPr>
                    <w:fldChar w:fldCharType="separate"/>
                  </w:r>
                  <w:r w:rsidR="00E47289">
                    <w:rPr>
                      <w:b/>
                      <w:bCs/>
                      <w:noProof/>
                      <w:sz w:val="18"/>
                    </w:rPr>
                    <w:t>3</w:t>
                  </w:r>
                  <w:r w:rsidRPr="003E725B">
                    <w:rPr>
                      <w:b/>
                      <w:bCs/>
                      <w:sz w:val="20"/>
                      <w:szCs w:val="24"/>
                    </w:rPr>
                    <w:fldChar w:fldCharType="end"/>
                  </w:r>
                  <w:r w:rsidRPr="003E725B">
                    <w:rPr>
                      <w:sz w:val="18"/>
                    </w:rPr>
                    <w:t xml:space="preserve"> of </w:t>
                  </w:r>
                  <w:r w:rsidRPr="003E725B">
                    <w:rPr>
                      <w:b/>
                      <w:bCs/>
                      <w:sz w:val="20"/>
                      <w:szCs w:val="24"/>
                    </w:rPr>
                    <w:fldChar w:fldCharType="begin"/>
                  </w:r>
                  <w:r w:rsidRPr="003E725B">
                    <w:rPr>
                      <w:b/>
                      <w:bCs/>
                      <w:sz w:val="18"/>
                    </w:rPr>
                    <w:instrText xml:space="preserve"> NUMPAGES  </w:instrText>
                  </w:r>
                  <w:r w:rsidRPr="003E725B">
                    <w:rPr>
                      <w:b/>
                      <w:bCs/>
                      <w:sz w:val="20"/>
                      <w:szCs w:val="24"/>
                    </w:rPr>
                    <w:fldChar w:fldCharType="separate"/>
                  </w:r>
                  <w:r w:rsidR="00E47289">
                    <w:rPr>
                      <w:b/>
                      <w:bCs/>
                      <w:noProof/>
                      <w:sz w:val="18"/>
                    </w:rPr>
                    <w:t>3</w:t>
                  </w:r>
                  <w:r w:rsidRPr="003E725B">
                    <w:rPr>
                      <w:b/>
                      <w:bCs/>
                      <w:sz w:val="20"/>
                      <w:szCs w:val="24"/>
                    </w:rPr>
                    <w:fldChar w:fldCharType="end"/>
                  </w:r>
                </w:p>
              </w:tc>
            </w:tr>
          </w:tbl>
          <w:p w14:paraId="1DAE5A91" w14:textId="77777777" w:rsidR="003E725B" w:rsidRDefault="000C1670" w:rsidP="000A7D95">
            <w:pPr>
              <w:pStyle w:val="Footer"/>
              <w:tabs>
                <w:tab w:val="left" w:pos="2640"/>
                <w:tab w:val="center" w:pos="5400"/>
              </w:tabs>
            </w:pPr>
          </w:p>
        </w:sdtContent>
      </w:sdt>
    </w:sdtContent>
  </w:sdt>
  <w:p w14:paraId="44D5252C" w14:textId="77777777" w:rsidR="003E725B" w:rsidRDefault="003E725B" w:rsidP="003E72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FAE" w14:textId="77777777" w:rsidR="00631199" w:rsidRDefault="00631199" w:rsidP="003E725B">
      <w:pPr>
        <w:spacing w:after="0" w:line="240" w:lineRule="auto"/>
      </w:pPr>
      <w:r>
        <w:separator/>
      </w:r>
    </w:p>
  </w:footnote>
  <w:footnote w:type="continuationSeparator" w:id="0">
    <w:p w14:paraId="2F97FFE8" w14:textId="77777777" w:rsidR="00631199" w:rsidRDefault="00631199" w:rsidP="003E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E725B" w:rsidRPr="000A7D95" w14:paraId="0CE00222" w14:textId="77777777" w:rsidTr="7B182A34">
      <w:trPr>
        <w:trHeight w:val="900"/>
      </w:trPr>
      <w:tc>
        <w:tcPr>
          <w:tcW w:w="3596" w:type="dxa"/>
        </w:tcPr>
        <w:p w14:paraId="7AB0F000" w14:textId="521C7359" w:rsidR="009E4816" w:rsidRPr="009E4816" w:rsidRDefault="009E4816" w:rsidP="009E4816">
          <w:pPr>
            <w:pStyle w:val="Header"/>
          </w:pPr>
          <w:r w:rsidRPr="009E4816">
            <w:rPr>
              <w:noProof/>
            </w:rPr>
            <w:drawing>
              <wp:anchor distT="0" distB="0" distL="114300" distR="114300" simplePos="0" relativeHeight="251658240" behindDoc="0" locked="0" layoutInCell="1" allowOverlap="1" wp14:anchorId="2235880C" wp14:editId="0154FA45">
                <wp:simplePos x="0" y="0"/>
                <wp:positionH relativeFrom="column">
                  <wp:posOffset>12413</wp:posOffset>
                </wp:positionH>
                <wp:positionV relativeFrom="paragraph">
                  <wp:posOffset>-27296</wp:posOffset>
                </wp:positionV>
                <wp:extent cx="1572271" cy="636479"/>
                <wp:effectExtent l="0" t="0" r="8890" b="0"/>
                <wp:wrapNone/>
                <wp:docPr id="419537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71" cy="6364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C830B" w14:textId="14BDD837" w:rsidR="003E725B" w:rsidRDefault="003E725B">
          <w:pPr>
            <w:pStyle w:val="Header"/>
          </w:pPr>
        </w:p>
      </w:tc>
      <w:tc>
        <w:tcPr>
          <w:tcW w:w="3597" w:type="dxa"/>
          <w:vAlign w:val="center"/>
        </w:tcPr>
        <w:p w14:paraId="291C2EAA" w14:textId="77777777" w:rsidR="003E725B" w:rsidRPr="003E725B" w:rsidRDefault="00FB1D0D" w:rsidP="003E725B">
          <w:pPr>
            <w:jc w:val="center"/>
            <w:rPr>
              <w:b/>
              <w:sz w:val="40"/>
              <w:szCs w:val="40"/>
            </w:rPr>
          </w:pPr>
          <w:r>
            <w:rPr>
              <w:b/>
              <w:sz w:val="40"/>
              <w:szCs w:val="40"/>
            </w:rPr>
            <w:t>Job Description</w:t>
          </w:r>
        </w:p>
      </w:tc>
      <w:tc>
        <w:tcPr>
          <w:tcW w:w="3597" w:type="dxa"/>
          <w:vAlign w:val="center"/>
        </w:tcPr>
        <w:p w14:paraId="3936F84A" w14:textId="77777777" w:rsidR="003E725B" w:rsidRPr="000A7D95" w:rsidRDefault="003E725B" w:rsidP="000A7D95">
          <w:pPr>
            <w:pStyle w:val="Header"/>
            <w:jc w:val="right"/>
            <w:rPr>
              <w:sz w:val="18"/>
            </w:rPr>
          </w:pPr>
        </w:p>
      </w:tc>
    </w:tr>
  </w:tbl>
  <w:p w14:paraId="08BE7E43" w14:textId="0D78B62A" w:rsidR="003E725B" w:rsidRDefault="003E7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AB4"/>
    <w:multiLevelType w:val="multilevel"/>
    <w:tmpl w:val="3516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40F7A"/>
    <w:multiLevelType w:val="hybridMultilevel"/>
    <w:tmpl w:val="5A8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852B4"/>
    <w:multiLevelType w:val="hybridMultilevel"/>
    <w:tmpl w:val="06F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02C37"/>
    <w:multiLevelType w:val="multilevel"/>
    <w:tmpl w:val="CF8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3D57"/>
    <w:multiLevelType w:val="multilevel"/>
    <w:tmpl w:val="F8CC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D66B5"/>
    <w:multiLevelType w:val="multilevel"/>
    <w:tmpl w:val="DF0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B1CBB"/>
    <w:multiLevelType w:val="hybridMultilevel"/>
    <w:tmpl w:val="89E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E83D89"/>
    <w:multiLevelType w:val="hybridMultilevel"/>
    <w:tmpl w:val="C60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1217B"/>
    <w:multiLevelType w:val="multilevel"/>
    <w:tmpl w:val="221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75AD0"/>
    <w:multiLevelType w:val="hybridMultilevel"/>
    <w:tmpl w:val="54C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077F5"/>
    <w:multiLevelType w:val="hybridMultilevel"/>
    <w:tmpl w:val="7CD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9FA"/>
    <w:multiLevelType w:val="hybridMultilevel"/>
    <w:tmpl w:val="C04462CA"/>
    <w:lvl w:ilvl="0" w:tplc="B74C5CAE">
      <w:numFmt w:val="bullet"/>
      <w:lvlText w:val=""/>
      <w:lvlJc w:val="left"/>
      <w:pPr>
        <w:ind w:left="720" w:hanging="360"/>
      </w:pPr>
      <w:rPr>
        <w:rFonts w:ascii="Wingdings" w:eastAsia="Wingdings" w:hAnsi="Wingdings" w:cs="Wingdings" w:hint="default"/>
        <w:w w:val="100"/>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9C3514"/>
    <w:multiLevelType w:val="hybridMultilevel"/>
    <w:tmpl w:val="F8A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A021B"/>
    <w:multiLevelType w:val="hybridMultilevel"/>
    <w:tmpl w:val="FFD6695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76971E0"/>
    <w:multiLevelType w:val="hybridMultilevel"/>
    <w:tmpl w:val="EC82E0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5FC1FA9"/>
    <w:multiLevelType w:val="multilevel"/>
    <w:tmpl w:val="7C9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625522"/>
    <w:multiLevelType w:val="hybridMultilevel"/>
    <w:tmpl w:val="9460B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EC3456"/>
    <w:multiLevelType w:val="multilevel"/>
    <w:tmpl w:val="F58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4780759">
    <w:abstractNumId w:val="14"/>
  </w:num>
  <w:num w:numId="2" w16cid:durableId="1784301106">
    <w:abstractNumId w:val="13"/>
  </w:num>
  <w:num w:numId="3" w16cid:durableId="1803695493">
    <w:abstractNumId w:val="12"/>
  </w:num>
  <w:num w:numId="4" w16cid:durableId="804854186">
    <w:abstractNumId w:val="7"/>
  </w:num>
  <w:num w:numId="5" w16cid:durableId="255671054">
    <w:abstractNumId w:val="10"/>
  </w:num>
  <w:num w:numId="6" w16cid:durableId="1830250478">
    <w:abstractNumId w:val="0"/>
  </w:num>
  <w:num w:numId="7" w16cid:durableId="1947884769">
    <w:abstractNumId w:val="2"/>
  </w:num>
  <w:num w:numId="8" w16cid:durableId="2093617853">
    <w:abstractNumId w:val="16"/>
  </w:num>
  <w:num w:numId="9" w16cid:durableId="448352162">
    <w:abstractNumId w:val="6"/>
  </w:num>
  <w:num w:numId="10" w16cid:durableId="1880315458">
    <w:abstractNumId w:val="3"/>
  </w:num>
  <w:num w:numId="11" w16cid:durableId="1451125080">
    <w:abstractNumId w:val="4"/>
  </w:num>
  <w:num w:numId="12" w16cid:durableId="66811057">
    <w:abstractNumId w:val="8"/>
  </w:num>
  <w:num w:numId="13" w16cid:durableId="117725046">
    <w:abstractNumId w:val="15"/>
  </w:num>
  <w:num w:numId="14" w16cid:durableId="1739329131">
    <w:abstractNumId w:val="5"/>
  </w:num>
  <w:num w:numId="15" w16cid:durableId="1441140504">
    <w:abstractNumId w:val="17"/>
  </w:num>
  <w:num w:numId="16" w16cid:durableId="990255674">
    <w:abstractNumId w:val="11"/>
  </w:num>
  <w:num w:numId="17" w16cid:durableId="170031682">
    <w:abstractNumId w:val="1"/>
  </w:num>
  <w:num w:numId="18" w16cid:durableId="1447389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D"/>
    <w:rsid w:val="00002D67"/>
    <w:rsid w:val="00012830"/>
    <w:rsid w:val="00015442"/>
    <w:rsid w:val="00016BD1"/>
    <w:rsid w:val="00020256"/>
    <w:rsid w:val="000256A7"/>
    <w:rsid w:val="00054C9F"/>
    <w:rsid w:val="00072C4F"/>
    <w:rsid w:val="00082896"/>
    <w:rsid w:val="00090719"/>
    <w:rsid w:val="000A33D3"/>
    <w:rsid w:val="000A7D95"/>
    <w:rsid w:val="000B05D8"/>
    <w:rsid w:val="000B14E4"/>
    <w:rsid w:val="000C1670"/>
    <w:rsid w:val="000C6C65"/>
    <w:rsid w:val="000D2EFD"/>
    <w:rsid w:val="000F5538"/>
    <w:rsid w:val="001028A2"/>
    <w:rsid w:val="00117C72"/>
    <w:rsid w:val="00125C97"/>
    <w:rsid w:val="00150955"/>
    <w:rsid w:val="00155D2A"/>
    <w:rsid w:val="00160BC6"/>
    <w:rsid w:val="00163034"/>
    <w:rsid w:val="001743EF"/>
    <w:rsid w:val="00184076"/>
    <w:rsid w:val="001844D6"/>
    <w:rsid w:val="00197BD3"/>
    <w:rsid w:val="001A6EDE"/>
    <w:rsid w:val="001B3C63"/>
    <w:rsid w:val="001B568F"/>
    <w:rsid w:val="001B7169"/>
    <w:rsid w:val="001C7397"/>
    <w:rsid w:val="001D02E4"/>
    <w:rsid w:val="001D5B3E"/>
    <w:rsid w:val="001E247C"/>
    <w:rsid w:val="001E4475"/>
    <w:rsid w:val="001E7F29"/>
    <w:rsid w:val="001F030E"/>
    <w:rsid w:val="00203C1D"/>
    <w:rsid w:val="00205F7F"/>
    <w:rsid w:val="002073B9"/>
    <w:rsid w:val="00227BB8"/>
    <w:rsid w:val="00227C35"/>
    <w:rsid w:val="0028445E"/>
    <w:rsid w:val="002A3D01"/>
    <w:rsid w:val="002B16C0"/>
    <w:rsid w:val="002B7C28"/>
    <w:rsid w:val="002C6700"/>
    <w:rsid w:val="002D7F3A"/>
    <w:rsid w:val="002F5F33"/>
    <w:rsid w:val="0030401B"/>
    <w:rsid w:val="003049E8"/>
    <w:rsid w:val="00305A72"/>
    <w:rsid w:val="00326971"/>
    <w:rsid w:val="00335896"/>
    <w:rsid w:val="0034299D"/>
    <w:rsid w:val="00342D91"/>
    <w:rsid w:val="003468BC"/>
    <w:rsid w:val="00382C63"/>
    <w:rsid w:val="00394B76"/>
    <w:rsid w:val="003C44FF"/>
    <w:rsid w:val="003E725B"/>
    <w:rsid w:val="003F2CA4"/>
    <w:rsid w:val="003F4F48"/>
    <w:rsid w:val="00400F18"/>
    <w:rsid w:val="00402BCF"/>
    <w:rsid w:val="00442E02"/>
    <w:rsid w:val="0045556B"/>
    <w:rsid w:val="00467B7E"/>
    <w:rsid w:val="00475068"/>
    <w:rsid w:val="00476182"/>
    <w:rsid w:val="004905BA"/>
    <w:rsid w:val="00495A2E"/>
    <w:rsid w:val="004B3251"/>
    <w:rsid w:val="004C04C7"/>
    <w:rsid w:val="004F15AF"/>
    <w:rsid w:val="0050413F"/>
    <w:rsid w:val="0050556F"/>
    <w:rsid w:val="00523F11"/>
    <w:rsid w:val="00525904"/>
    <w:rsid w:val="0057260B"/>
    <w:rsid w:val="00574DE1"/>
    <w:rsid w:val="00584003"/>
    <w:rsid w:val="00584433"/>
    <w:rsid w:val="005D0AA7"/>
    <w:rsid w:val="005E7C81"/>
    <w:rsid w:val="005F1778"/>
    <w:rsid w:val="00605F93"/>
    <w:rsid w:val="00631199"/>
    <w:rsid w:val="00632B7D"/>
    <w:rsid w:val="00643702"/>
    <w:rsid w:val="00653728"/>
    <w:rsid w:val="0065462E"/>
    <w:rsid w:val="0065627F"/>
    <w:rsid w:val="00666A50"/>
    <w:rsid w:val="00672449"/>
    <w:rsid w:val="006A22C1"/>
    <w:rsid w:val="006C48EF"/>
    <w:rsid w:val="006C6C89"/>
    <w:rsid w:val="00723B5E"/>
    <w:rsid w:val="00731283"/>
    <w:rsid w:val="00740568"/>
    <w:rsid w:val="0074144D"/>
    <w:rsid w:val="00742B9D"/>
    <w:rsid w:val="00743171"/>
    <w:rsid w:val="007533DD"/>
    <w:rsid w:val="00763EB7"/>
    <w:rsid w:val="007769A1"/>
    <w:rsid w:val="007A490C"/>
    <w:rsid w:val="007A7D86"/>
    <w:rsid w:val="007B0C49"/>
    <w:rsid w:val="007C40AF"/>
    <w:rsid w:val="007E467B"/>
    <w:rsid w:val="007E7E69"/>
    <w:rsid w:val="007F5351"/>
    <w:rsid w:val="007F6F46"/>
    <w:rsid w:val="00816C97"/>
    <w:rsid w:val="00816E2D"/>
    <w:rsid w:val="0083295E"/>
    <w:rsid w:val="0083599A"/>
    <w:rsid w:val="00840251"/>
    <w:rsid w:val="008522D2"/>
    <w:rsid w:val="008638D8"/>
    <w:rsid w:val="00871B27"/>
    <w:rsid w:val="008761E3"/>
    <w:rsid w:val="0087717F"/>
    <w:rsid w:val="008911CE"/>
    <w:rsid w:val="008C48E4"/>
    <w:rsid w:val="008E6111"/>
    <w:rsid w:val="008E6F66"/>
    <w:rsid w:val="00932004"/>
    <w:rsid w:val="00932B5E"/>
    <w:rsid w:val="00937C92"/>
    <w:rsid w:val="00961DBC"/>
    <w:rsid w:val="009912D7"/>
    <w:rsid w:val="0099497C"/>
    <w:rsid w:val="009A4107"/>
    <w:rsid w:val="009A5171"/>
    <w:rsid w:val="009C51DF"/>
    <w:rsid w:val="009E4816"/>
    <w:rsid w:val="009E6561"/>
    <w:rsid w:val="009F0982"/>
    <w:rsid w:val="00A0248A"/>
    <w:rsid w:val="00A0265E"/>
    <w:rsid w:val="00A10CE7"/>
    <w:rsid w:val="00A205FE"/>
    <w:rsid w:val="00A44132"/>
    <w:rsid w:val="00A45895"/>
    <w:rsid w:val="00A616A0"/>
    <w:rsid w:val="00A619E4"/>
    <w:rsid w:val="00A6312B"/>
    <w:rsid w:val="00A74DC8"/>
    <w:rsid w:val="00A77141"/>
    <w:rsid w:val="00A8680D"/>
    <w:rsid w:val="00AD2BD1"/>
    <w:rsid w:val="00AD600A"/>
    <w:rsid w:val="00AE6D09"/>
    <w:rsid w:val="00AF1287"/>
    <w:rsid w:val="00B0153B"/>
    <w:rsid w:val="00B02D38"/>
    <w:rsid w:val="00B04EFE"/>
    <w:rsid w:val="00B10137"/>
    <w:rsid w:val="00B14069"/>
    <w:rsid w:val="00B20701"/>
    <w:rsid w:val="00B25571"/>
    <w:rsid w:val="00B43FE3"/>
    <w:rsid w:val="00B44A03"/>
    <w:rsid w:val="00B52149"/>
    <w:rsid w:val="00B60C0E"/>
    <w:rsid w:val="00B73ACA"/>
    <w:rsid w:val="00B94A55"/>
    <w:rsid w:val="00B96493"/>
    <w:rsid w:val="00BA133A"/>
    <w:rsid w:val="00BD277F"/>
    <w:rsid w:val="00BD61EF"/>
    <w:rsid w:val="00BF6377"/>
    <w:rsid w:val="00C05B9D"/>
    <w:rsid w:val="00C31F5E"/>
    <w:rsid w:val="00C36EAA"/>
    <w:rsid w:val="00C8625B"/>
    <w:rsid w:val="00CA12E2"/>
    <w:rsid w:val="00CB478D"/>
    <w:rsid w:val="00CB527B"/>
    <w:rsid w:val="00CC106A"/>
    <w:rsid w:val="00CC3886"/>
    <w:rsid w:val="00CC7273"/>
    <w:rsid w:val="00CE4450"/>
    <w:rsid w:val="00D01728"/>
    <w:rsid w:val="00D10E68"/>
    <w:rsid w:val="00D11399"/>
    <w:rsid w:val="00D26EC0"/>
    <w:rsid w:val="00D27436"/>
    <w:rsid w:val="00D40C19"/>
    <w:rsid w:val="00D506F2"/>
    <w:rsid w:val="00D7466B"/>
    <w:rsid w:val="00D80165"/>
    <w:rsid w:val="00D9207A"/>
    <w:rsid w:val="00DA331F"/>
    <w:rsid w:val="00DC1752"/>
    <w:rsid w:val="00DC6EB5"/>
    <w:rsid w:val="00DC745C"/>
    <w:rsid w:val="00DD51AC"/>
    <w:rsid w:val="00DE428D"/>
    <w:rsid w:val="00DE61AF"/>
    <w:rsid w:val="00DF31B3"/>
    <w:rsid w:val="00E00AC6"/>
    <w:rsid w:val="00E03F7B"/>
    <w:rsid w:val="00E057D0"/>
    <w:rsid w:val="00E06036"/>
    <w:rsid w:val="00E148EE"/>
    <w:rsid w:val="00E26EA2"/>
    <w:rsid w:val="00E432E7"/>
    <w:rsid w:val="00E47289"/>
    <w:rsid w:val="00E60A6F"/>
    <w:rsid w:val="00E70056"/>
    <w:rsid w:val="00E70B50"/>
    <w:rsid w:val="00E84B9C"/>
    <w:rsid w:val="00E903A0"/>
    <w:rsid w:val="00EC77AB"/>
    <w:rsid w:val="00ED2938"/>
    <w:rsid w:val="00ED3053"/>
    <w:rsid w:val="00EE0878"/>
    <w:rsid w:val="00EF13AD"/>
    <w:rsid w:val="00EF4C96"/>
    <w:rsid w:val="00F1252E"/>
    <w:rsid w:val="00F2599B"/>
    <w:rsid w:val="00F33A79"/>
    <w:rsid w:val="00F362E8"/>
    <w:rsid w:val="00F41D16"/>
    <w:rsid w:val="00F55500"/>
    <w:rsid w:val="00F81859"/>
    <w:rsid w:val="00F90113"/>
    <w:rsid w:val="00F95122"/>
    <w:rsid w:val="00FA53B6"/>
    <w:rsid w:val="00FB0F62"/>
    <w:rsid w:val="00FB1D0D"/>
    <w:rsid w:val="00FC7182"/>
    <w:rsid w:val="00FD3DA4"/>
    <w:rsid w:val="00FF7E79"/>
    <w:rsid w:val="25C8D987"/>
    <w:rsid w:val="315CF943"/>
    <w:rsid w:val="46DA0476"/>
    <w:rsid w:val="48890AE9"/>
    <w:rsid w:val="51E21FE2"/>
    <w:rsid w:val="7951EFE4"/>
    <w:rsid w:val="7B18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42668"/>
  <w15:chartTrackingRefBased/>
  <w15:docId w15:val="{CEE2A50B-5539-402B-B632-25099802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442"/>
    <w:rPr>
      <w:rFonts w:ascii="Segoe UI" w:hAnsi="Segoe UI" w:cs="Segoe UI"/>
      <w:sz w:val="18"/>
      <w:szCs w:val="18"/>
    </w:rPr>
  </w:style>
  <w:style w:type="paragraph" w:styleId="Header">
    <w:name w:val="header"/>
    <w:basedOn w:val="Normal"/>
    <w:link w:val="HeaderChar"/>
    <w:uiPriority w:val="99"/>
    <w:unhideWhenUsed/>
    <w:rsid w:val="003E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25B"/>
  </w:style>
  <w:style w:type="paragraph" w:styleId="Footer">
    <w:name w:val="footer"/>
    <w:basedOn w:val="Normal"/>
    <w:link w:val="FooterChar"/>
    <w:uiPriority w:val="99"/>
    <w:unhideWhenUsed/>
    <w:rsid w:val="003E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25B"/>
  </w:style>
  <w:style w:type="paragraph" w:styleId="ListParagraph">
    <w:name w:val="List Paragraph"/>
    <w:basedOn w:val="Normal"/>
    <w:uiPriority w:val="34"/>
    <w:qFormat/>
    <w:rsid w:val="00BA133A"/>
    <w:pPr>
      <w:ind w:left="720"/>
      <w:contextualSpacing/>
    </w:pPr>
  </w:style>
  <w:style w:type="paragraph" w:styleId="BodyText">
    <w:name w:val="Body Text"/>
    <w:basedOn w:val="Normal"/>
    <w:link w:val="BodyTextChar"/>
    <w:uiPriority w:val="1"/>
    <w:qFormat/>
    <w:rsid w:val="00574DE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4DE1"/>
    <w:rPr>
      <w:rFonts w:ascii="Times New Roman" w:eastAsia="Times New Roman" w:hAnsi="Times New Roman" w:cs="Times New Roman"/>
    </w:rPr>
  </w:style>
  <w:style w:type="character" w:customStyle="1" w:styleId="normaltextrun">
    <w:name w:val="normaltextrun"/>
    <w:basedOn w:val="DefaultParagraphFont"/>
    <w:rsid w:val="00574DE1"/>
  </w:style>
  <w:style w:type="character" w:customStyle="1" w:styleId="eop">
    <w:name w:val="eop"/>
    <w:basedOn w:val="DefaultParagraphFont"/>
    <w:rsid w:val="00574DE1"/>
  </w:style>
  <w:style w:type="paragraph" w:customStyle="1" w:styleId="paragraph">
    <w:name w:val="paragraph"/>
    <w:basedOn w:val="Normal"/>
    <w:rsid w:val="00B43F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4C9F"/>
    <w:rPr>
      <w:i/>
      <w:iCs/>
    </w:rPr>
  </w:style>
  <w:style w:type="character" w:customStyle="1" w:styleId="white-space-pre">
    <w:name w:val="white-space-pre"/>
    <w:basedOn w:val="DefaultParagraphFont"/>
    <w:rsid w:val="00197BD3"/>
  </w:style>
  <w:style w:type="character" w:styleId="Hyperlink">
    <w:name w:val="Hyperlink"/>
    <w:basedOn w:val="DefaultParagraphFont"/>
    <w:uiPriority w:val="99"/>
    <w:unhideWhenUsed/>
    <w:rsid w:val="00AE6D09"/>
    <w:rPr>
      <w:color w:val="0563C1" w:themeColor="hyperlink"/>
      <w:u w:val="single"/>
    </w:rPr>
  </w:style>
  <w:style w:type="paragraph" w:styleId="Revision">
    <w:name w:val="Revision"/>
    <w:hidden/>
    <w:uiPriority w:val="99"/>
    <w:semiHidden/>
    <w:rsid w:val="00D27436"/>
    <w:pPr>
      <w:spacing w:after="0" w:line="240" w:lineRule="auto"/>
    </w:pPr>
  </w:style>
  <w:style w:type="paragraph" w:styleId="NormalWeb">
    <w:name w:val="Normal (Web)"/>
    <w:basedOn w:val="Normal"/>
    <w:uiPriority w:val="99"/>
    <w:unhideWhenUsed/>
    <w:rsid w:val="00D2743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27436"/>
    <w:rPr>
      <w:sz w:val="16"/>
      <w:szCs w:val="16"/>
    </w:rPr>
  </w:style>
  <w:style w:type="paragraph" w:styleId="CommentText">
    <w:name w:val="annotation text"/>
    <w:basedOn w:val="Normal"/>
    <w:link w:val="CommentTextChar"/>
    <w:uiPriority w:val="99"/>
    <w:unhideWhenUsed/>
    <w:rsid w:val="00D27436"/>
    <w:pPr>
      <w:spacing w:line="240" w:lineRule="auto"/>
    </w:pPr>
    <w:rPr>
      <w:sz w:val="20"/>
      <w:szCs w:val="20"/>
    </w:rPr>
  </w:style>
  <w:style w:type="character" w:customStyle="1" w:styleId="CommentTextChar">
    <w:name w:val="Comment Text Char"/>
    <w:basedOn w:val="DefaultParagraphFont"/>
    <w:link w:val="CommentText"/>
    <w:uiPriority w:val="99"/>
    <w:rsid w:val="00D27436"/>
    <w:rPr>
      <w:sz w:val="20"/>
      <w:szCs w:val="20"/>
    </w:rPr>
  </w:style>
  <w:style w:type="paragraph" w:styleId="CommentSubject">
    <w:name w:val="annotation subject"/>
    <w:basedOn w:val="CommentText"/>
    <w:next w:val="CommentText"/>
    <w:link w:val="CommentSubjectChar"/>
    <w:uiPriority w:val="99"/>
    <w:semiHidden/>
    <w:unhideWhenUsed/>
    <w:rsid w:val="00D27436"/>
    <w:rPr>
      <w:b/>
      <w:bCs/>
    </w:rPr>
  </w:style>
  <w:style w:type="character" w:customStyle="1" w:styleId="CommentSubjectChar">
    <w:name w:val="Comment Subject Char"/>
    <w:basedOn w:val="CommentTextChar"/>
    <w:link w:val="CommentSubject"/>
    <w:uiPriority w:val="99"/>
    <w:semiHidden/>
    <w:rsid w:val="00D27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310">
      <w:bodyDiv w:val="1"/>
      <w:marLeft w:val="0"/>
      <w:marRight w:val="0"/>
      <w:marTop w:val="0"/>
      <w:marBottom w:val="0"/>
      <w:divBdr>
        <w:top w:val="none" w:sz="0" w:space="0" w:color="auto"/>
        <w:left w:val="none" w:sz="0" w:space="0" w:color="auto"/>
        <w:bottom w:val="none" w:sz="0" w:space="0" w:color="auto"/>
        <w:right w:val="none" w:sz="0" w:space="0" w:color="auto"/>
      </w:divBdr>
    </w:div>
    <w:div w:id="95369373">
      <w:bodyDiv w:val="1"/>
      <w:marLeft w:val="0"/>
      <w:marRight w:val="0"/>
      <w:marTop w:val="0"/>
      <w:marBottom w:val="0"/>
      <w:divBdr>
        <w:top w:val="none" w:sz="0" w:space="0" w:color="auto"/>
        <w:left w:val="none" w:sz="0" w:space="0" w:color="auto"/>
        <w:bottom w:val="none" w:sz="0" w:space="0" w:color="auto"/>
        <w:right w:val="none" w:sz="0" w:space="0" w:color="auto"/>
      </w:divBdr>
    </w:div>
    <w:div w:id="383724209">
      <w:bodyDiv w:val="1"/>
      <w:marLeft w:val="0"/>
      <w:marRight w:val="0"/>
      <w:marTop w:val="0"/>
      <w:marBottom w:val="0"/>
      <w:divBdr>
        <w:top w:val="none" w:sz="0" w:space="0" w:color="auto"/>
        <w:left w:val="none" w:sz="0" w:space="0" w:color="auto"/>
        <w:bottom w:val="none" w:sz="0" w:space="0" w:color="auto"/>
        <w:right w:val="none" w:sz="0" w:space="0" w:color="auto"/>
      </w:divBdr>
    </w:div>
    <w:div w:id="407197225">
      <w:bodyDiv w:val="1"/>
      <w:marLeft w:val="0"/>
      <w:marRight w:val="0"/>
      <w:marTop w:val="0"/>
      <w:marBottom w:val="0"/>
      <w:divBdr>
        <w:top w:val="none" w:sz="0" w:space="0" w:color="auto"/>
        <w:left w:val="none" w:sz="0" w:space="0" w:color="auto"/>
        <w:bottom w:val="none" w:sz="0" w:space="0" w:color="auto"/>
        <w:right w:val="none" w:sz="0" w:space="0" w:color="auto"/>
      </w:divBdr>
    </w:div>
    <w:div w:id="757598828">
      <w:bodyDiv w:val="1"/>
      <w:marLeft w:val="0"/>
      <w:marRight w:val="0"/>
      <w:marTop w:val="0"/>
      <w:marBottom w:val="0"/>
      <w:divBdr>
        <w:top w:val="none" w:sz="0" w:space="0" w:color="auto"/>
        <w:left w:val="none" w:sz="0" w:space="0" w:color="auto"/>
        <w:bottom w:val="none" w:sz="0" w:space="0" w:color="auto"/>
        <w:right w:val="none" w:sz="0" w:space="0" w:color="auto"/>
      </w:divBdr>
    </w:div>
    <w:div w:id="979577193">
      <w:bodyDiv w:val="1"/>
      <w:marLeft w:val="0"/>
      <w:marRight w:val="0"/>
      <w:marTop w:val="0"/>
      <w:marBottom w:val="0"/>
      <w:divBdr>
        <w:top w:val="none" w:sz="0" w:space="0" w:color="auto"/>
        <w:left w:val="none" w:sz="0" w:space="0" w:color="auto"/>
        <w:bottom w:val="none" w:sz="0" w:space="0" w:color="auto"/>
        <w:right w:val="none" w:sz="0" w:space="0" w:color="auto"/>
      </w:divBdr>
    </w:div>
    <w:div w:id="1054694177">
      <w:bodyDiv w:val="1"/>
      <w:marLeft w:val="0"/>
      <w:marRight w:val="0"/>
      <w:marTop w:val="0"/>
      <w:marBottom w:val="0"/>
      <w:divBdr>
        <w:top w:val="none" w:sz="0" w:space="0" w:color="auto"/>
        <w:left w:val="none" w:sz="0" w:space="0" w:color="auto"/>
        <w:bottom w:val="none" w:sz="0" w:space="0" w:color="auto"/>
        <w:right w:val="none" w:sz="0" w:space="0" w:color="auto"/>
      </w:divBdr>
    </w:div>
    <w:div w:id="1067722669">
      <w:bodyDiv w:val="1"/>
      <w:marLeft w:val="0"/>
      <w:marRight w:val="0"/>
      <w:marTop w:val="0"/>
      <w:marBottom w:val="0"/>
      <w:divBdr>
        <w:top w:val="none" w:sz="0" w:space="0" w:color="auto"/>
        <w:left w:val="none" w:sz="0" w:space="0" w:color="auto"/>
        <w:bottom w:val="none" w:sz="0" w:space="0" w:color="auto"/>
        <w:right w:val="none" w:sz="0" w:space="0" w:color="auto"/>
      </w:divBdr>
    </w:div>
    <w:div w:id="1291984321">
      <w:bodyDiv w:val="1"/>
      <w:marLeft w:val="0"/>
      <w:marRight w:val="0"/>
      <w:marTop w:val="0"/>
      <w:marBottom w:val="0"/>
      <w:divBdr>
        <w:top w:val="none" w:sz="0" w:space="0" w:color="auto"/>
        <w:left w:val="none" w:sz="0" w:space="0" w:color="auto"/>
        <w:bottom w:val="none" w:sz="0" w:space="0" w:color="auto"/>
        <w:right w:val="none" w:sz="0" w:space="0" w:color="auto"/>
      </w:divBdr>
    </w:div>
    <w:div w:id="1321419605">
      <w:bodyDiv w:val="1"/>
      <w:marLeft w:val="0"/>
      <w:marRight w:val="0"/>
      <w:marTop w:val="0"/>
      <w:marBottom w:val="0"/>
      <w:divBdr>
        <w:top w:val="none" w:sz="0" w:space="0" w:color="auto"/>
        <w:left w:val="none" w:sz="0" w:space="0" w:color="auto"/>
        <w:bottom w:val="none" w:sz="0" w:space="0" w:color="auto"/>
        <w:right w:val="none" w:sz="0" w:space="0" w:color="auto"/>
      </w:divBdr>
    </w:div>
    <w:div w:id="1948539967">
      <w:bodyDiv w:val="1"/>
      <w:marLeft w:val="0"/>
      <w:marRight w:val="0"/>
      <w:marTop w:val="0"/>
      <w:marBottom w:val="0"/>
      <w:divBdr>
        <w:top w:val="none" w:sz="0" w:space="0" w:color="auto"/>
        <w:left w:val="none" w:sz="0" w:space="0" w:color="auto"/>
        <w:bottom w:val="none" w:sz="0" w:space="0" w:color="auto"/>
        <w:right w:val="none" w:sz="0" w:space="0" w:color="auto"/>
      </w:divBdr>
    </w:div>
    <w:div w:id="20606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c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693</Words>
  <Characters>4453</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Ohio Capital Corporation for Housing</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Tallman</dc:creator>
  <cp:keywords/>
  <dc:description/>
  <cp:lastModifiedBy>Raymara Reeves</cp:lastModifiedBy>
  <cp:revision>18</cp:revision>
  <cp:lastPrinted>2020-09-29T21:13:00Z</cp:lastPrinted>
  <dcterms:created xsi:type="dcterms:W3CDTF">2025-12-30T15:39:00Z</dcterms:created>
  <dcterms:modified xsi:type="dcterms:W3CDTF">2025-12-30T16:15:00Z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eacb4ea2-9d25-4995-bdff-5a69f6d486dd</vt:lpwstr>
  </property>
</Properties>
</file>